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Интеграционные технологии</w:t>
      </w:r>
    </w:p>
    <w:tbl>
      <w:tblPr>
        <w:tblStyle w:val="afffff1"/>
        <w:tblW w:w="9776" w:type="dxa"/>
        <w:jc w:val="left"/>
        <w:tblInd w:w="0" w:type="dxa"/>
        <w:tblLayout w:type="fixed"/>
        <w:tblCellMar>
          <w:top w:w="105" w:type="dxa"/>
          <w:left w:w="150" w:type="dxa"/>
          <w:bottom w:w="105" w:type="dxa"/>
          <w:right w:w="150" w:type="dxa"/>
        </w:tblCellMar>
        <w:tblLook w:val="0400" w:noHBand="0" w:noVBand="1" w:firstColumn="0" w:lastRow="0" w:lastColumn="0" w:firstRow="0"/>
      </w:tblPr>
      <w:tblGrid>
        <w:gridCol w:w="5381"/>
        <w:gridCol w:w="4395"/>
      </w:tblGrid>
      <w:tr>
        <w:trPr>
          <w:tblHeader w:val="true"/>
          <w:trHeight w:val="20" w:hRule="atLeast"/>
        </w:trPr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Назначение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Технология</w:t>
            </w:r>
          </w:p>
        </w:tc>
      </w:tr>
      <w:tr>
        <w:trPr/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API-шлюз (взаимодействие «запрос-ответ»)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OpenAPI 3.0</w:t>
            </w:r>
          </w:p>
        </w:tc>
      </w:tr>
      <w:tr>
        <w:trPr/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Прямая интеграция с шиной данных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Адаптеры </w:t>
            </w:r>
            <w:r>
              <w:rPr>
                <w:b/>
                <w:color w:val="000000"/>
                <w:sz w:val="20"/>
                <w:szCs w:val="20"/>
              </w:rPr>
              <w:t>Apache Kafka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Palati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suppressAutoHyphens w:val="true"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suppressAutoHyphens w:val="true"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</Pages>
  <Words>17</Words>
  <Characters>139</Characters>
  <CharactersWithSpaces>149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2026-05-13T16:16:15Z</dcterms:modified>
  <cp:revision>6</cp:revision>
  <dc:subject/>
  <dc:title>reestr_uchastnikov.docx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