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3"/>
        <w:spacing w:before="120" w:after="160"/>
        <w:contextualSpacing w:val="false"/>
        <w:rPr/>
      </w:pPr>
      <w:r>
        <w:rPr/>
        <w:t>Матрица «Компонент/технология»</w:t>
      </w:r>
    </w:p>
    <w:p>
      <w:pPr>
        <w:pStyle w:val="normal1"/>
        <w:spacing w:before="0" w:after="0"/>
        <w:rPr/>
      </w:pPr>
      <w:r>
        <w:rPr/>
      </w:r>
    </w:p>
    <w:tbl>
      <w:tblPr>
        <w:tblStyle w:val="DefaultTable"/>
        <w:tblW w:w="936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530"/>
        <w:gridCol w:w="3780"/>
        <w:gridCol w:w="4050"/>
      </w:tblGrid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Код компонента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Наименование компонента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/>
          </w:tcPr>
          <w:p>
            <w:pPr>
              <w:pStyle w:val="normal1"/>
              <w:spacing w:before="0" w:after="0"/>
              <w:rPr>
                <w:b/>
              </w:rPr>
            </w:pPr>
            <w:r>
              <w:rPr>
                <w:b/>
              </w:rPr>
              <w:t>Технологии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«Подача документов»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«Возбуждение производства»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«Определение подсудности»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«Судебное производство»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«Урегулирование спора»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«Упрощенное производство»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портфелем дел»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«Исполнительное производство»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«Архивное делопроизводство»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К-ВДД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«Внутреннее движение документов»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К-ПСР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«Проверка на соответствие регламенту»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К-ИПП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«Интеллектуальный помощник и поддержка принятия решений»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«Материалы дела»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3.0, MinIO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К-ПЗ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«Планирование заседаний»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К-ПСЗ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«Протоколирование судебного заседания»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3.0, MinIO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К-УСС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составом суда»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К-УДП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доступом и полномочиями»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К-УПС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процессуальными сроками»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К-ПИ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«Подписки и информирование»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К-УФД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финансами и депозитами»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К-РИО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«Раскрытие информации о деятельности суда»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статистика»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К-УНСИ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нормативно-справочной информацией (НСИ)»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К-КР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«Коллегиальное рассмотрение»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«Апелляционное производство»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«Кассационное производство»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«Судебные поручения»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К-ПСН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судебного акта по новым обстоятельствам»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К-ПВО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«Пересмотр по вновь открывшимся обстоятельствам»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«Приказное производство»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К-ПСТ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содействию третейским судам»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банкротстве»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К-ПДА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об административных правонарушениях»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К-ПОП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оспариванию и приведению в исполнение решений третейских судов»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К-ПДЗ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делам о запрете рассмотрения спора в иностранном суде»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К-УВД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вещественными доказательствами»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К-ПК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«Процессуальный контроль»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К-ОА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«Отчетность и аналитика»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К-РШС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«Распределенная шина сообщений»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Apache Kafka, Адаптеры Apache Kafka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К-СДМ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декларативной маршрутизации»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Benthos, Apache Kafka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К-РФД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«Регистр форматов данных»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Apicurio Registry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К-СИД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«Система идентификации и доступа»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Keycloak,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К-АЖС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«Аудитный журнал событий»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PostgreSQL, Apache Kafka, Сервис криптографических операций (УКЭП)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требований кредиторов»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К-УАУ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Арбитражными Управляющими»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К-ПДБ-ФЛ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«Банкротство физических лиц»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К-СУБ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«Субсидиарная ответственность»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К-ОМ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«Обеспечительные меры»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К-СЭ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«Судебная экспертиза»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«Корпоративные споры»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«Признание и приведение в исполнение иностранных решений»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К-МПП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«Международная правовая помощь»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К-ПДБ-О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«Оркестрация процедуры банкротства»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К-АУ-Н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«Назначение Арбитражных Управляющих»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К-КМ-А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«Конкурсная масса: Активы»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К-Торги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«Реализация имущества (Торги)»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К-РТК-Т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«Требования кредиторов (Claims)»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К-СК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«Собрания кредиторов»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К-ПВ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«План восстановления (Реабилитация)»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К-ОС-С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«Обособленные споры (Disputes)»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К-ДЗ-О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«Объекты долевого строительства (Застройщики)»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К-ЕФРСБ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«Шлюз интеграции с ЕФРСБ»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Apache Kafka, Адаптеры Apache Kafka, OpenAPI 3.0, PostgreSQL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К-ФЭК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«Финансовый и налоговый калькулятор»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К-ИРК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«Интеграция с реестрами корпоративных прав»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Apache Kafka, Адаптеры Apache Kafka, OpenAPI 3.0, PostgreSQL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К-ПНА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«Приостановление ненормативных актов»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К-КИ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косвенным искам»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К-КДЛ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«Реестр контролирующих должника лиц»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К-ГСА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«Глобальный статус арбитражных управляющих»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К-СР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судебными расходами»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К-ГИ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«Производство по групповым искам»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К-ЭИЗ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«Надлежащее электронное извещение»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RabbitMQ, PostgreSQL, OpenAPI 3.0, Apache Kafka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К-КТ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«Коммерческая тайна и ограничение доступа»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К-ФДС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«Управление фидуциарными и депозитными средствами»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К-САС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«Специфическая арбитражная статистика и нагрузка»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</w:t>
            </w:r>
          </w:p>
        </w:tc>
      </w:tr>
      <w:tr>
        <w:trPr/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К-ПА</w:t>
            </w:r>
          </w:p>
        </w:tc>
        <w:tc>
          <w:tcPr>
            <w:tcW w:w="3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Компонент «Партионная и частичная архивация»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/>
          </w:tcPr>
          <w:p>
            <w:pPr>
              <w:pStyle w:val="normal1"/>
              <w:spacing w:before="0" w:after="0"/>
              <w:rPr/>
            </w:pPr>
            <w:r>
              <w:rPr/>
              <w:t>.NET (C#), SPA (React или аналоги), RabbitMQ, PostgreSQL, OpenAPI 3.0, MinIO</w:t>
            </w:r>
          </w:p>
        </w:tc>
      </w:tr>
    </w:tbl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Palati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333333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widowControl/>
      <w:spacing w:lineRule="auto" w:line="240" w:before="0" w:after="120"/>
      <w:contextualSpacing/>
    </w:pPr>
    <w:rPr>
      <w:rFonts w:ascii="Palatino" w:hAnsi="Palatino" w:eastAsia="Palatino" w:cs="Palatino"/>
      <w:sz w:val="36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sz w:val="26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widowControl/>
      <w:spacing w:lineRule="auto" w:line="240" w:before="120" w:after="160"/>
      <w:contextualSpacing/>
    </w:pPr>
    <w:rPr>
      <w:rFonts w:ascii="Arial" w:hAnsi="Arial" w:eastAsia="Arial" w:cs="Arial"/>
      <w:b/>
      <w:i/>
      <w:color w:val="666666"/>
      <w:sz w:val="24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Palatino" w:hAnsi="Palatino" w:eastAsia="Palatino" w:cs="Palatino"/>
      <w:b/>
      <w:sz w:val="24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b/>
      <w:sz w:val="22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widowControl/>
      <w:spacing w:lineRule="auto" w:line="240" w:before="120" w:after="120"/>
      <w:contextualSpacing/>
    </w:pPr>
    <w:rPr>
      <w:rFonts w:ascii="Arial" w:hAnsi="Arial" w:eastAsia="Arial" w:cs="Arial"/>
      <w:i/>
      <w:color w:val="666666"/>
      <w:sz w:val="2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keepNext w:val="false"/>
      <w:keepLines w:val="false"/>
      <w:widowControl/>
      <w:bidi w:val="0"/>
      <w:spacing w:lineRule="auto" w:line="319" w:before="0" w:after="0"/>
      <w:ind w:hanging="0" w:left="0" w:right="0"/>
      <w:jc w:val="left"/>
    </w:pPr>
    <w:rPr>
      <w:rFonts w:ascii="Arial" w:hAnsi="Arial" w:eastAsia="Arial" w:cs="Arial"/>
      <w:b w:val="false"/>
      <w:i w:val="false"/>
      <w:caps w:val="false"/>
      <w:smallCaps w:val="false"/>
      <w:strike w:val="false"/>
      <w:dstrike w:val="false"/>
      <w:color w:val="333333"/>
      <w:kern w:val="0"/>
      <w:position w:val="0"/>
      <w:sz w:val="20"/>
      <w:sz w:val="20"/>
      <w:szCs w:val="20"/>
      <w:u w:val="none"/>
      <w:vertAlign w:val="baseline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widowControl/>
      <w:spacing w:before="0" w:after="0"/>
      <w:contextualSpacing/>
    </w:pPr>
    <w:rPr>
      <w:rFonts w:ascii="Palatino" w:hAnsi="Palatino" w:eastAsia="Palatino" w:cs="Palatino"/>
      <w:sz w:val="60"/>
    </w:rPr>
  </w:style>
  <w:style w:type="paragraph" w:styleId="subtitle">
    <w:name w:val="subtitle"/>
    <w:basedOn w:val="normal1"/>
    <w:next w:val="normal1"/>
    <w:qFormat/>
    <w:pPr>
      <w:keepNext w:val="false"/>
      <w:keepLines w:val="false"/>
      <w:widowControl/>
      <w:spacing w:lineRule="auto" w:line="240" w:before="60" w:after="0"/>
      <w:contextualSpacing/>
    </w:pPr>
    <w:rPr>
      <w:rFonts w:ascii="Arial" w:hAnsi="Arial" w:eastAsia="Arial" w:cs="Arial"/>
      <w:sz w:val="28"/>
    </w:rPr>
  </w:style>
  <w:style w:type="table" w:default="1" w:styleId="TableNormal">
    <w:name w:val="Table Normal"/>
    <w:pPr>
      <w:spacing w:before="0" w:after="0" w:line="459" w:lineRule="auto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6</Pages>
  <Words>1153</Words>
  <Characters>7945</Characters>
  <CharactersWithSpaces>8866</CharactersWithSpaces>
  <Paragraphs>232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2026-04-27T06:50:50Z</dcterms:modified>
  <cp:revision>1</cp:revision>
  <dc:subject/>
  <dc:title>matrica_komponent_tech.docx</dc:title>
</cp:coreProperties>
</file>