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86BC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ОБП55: Организация отпуска товарно-материальных ценностей</w:t>
      </w:r>
    </w:p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286942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000000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29.06.2010 N 135 "Об утверждении Положения о Главном финансово-экономическом управлении Судебного департамента при Верховном Суде Российской Федерации" (ред. от 25.12.2024)</w:t>
            </w:r>
          </w:p>
        </w:tc>
      </w:tr>
      <w:tr w:rsidR="00000000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Правительства</w:t>
            </w:r>
            <w:r>
              <w:rPr>
                <w:rFonts w:eastAsia="Times New Roman"/>
              </w:rPr>
              <w:t xml:space="preserve"> РФ от 20.10.2014 N 1084 "О порядке определения нормативных затрат на обеспечение функций федеральных государственных органов, органов управления государственными внебюджетными фондами Российской Федерации, определенных в соответствии с Бюджетным кодексом </w:t>
            </w:r>
            <w:r>
              <w:rPr>
                <w:rFonts w:eastAsia="Times New Roman"/>
              </w:rPr>
              <w:t>Российской Федерации наиболее значимых учреждений науки, образования, культуры и здравоохранения, включая соответственно территориальные органы и подведомственные казенные учреждения, а также Государственной корпорации по атомной энергии "Росатом", Государ</w:t>
            </w:r>
            <w:r>
              <w:rPr>
                <w:rFonts w:eastAsia="Times New Roman"/>
              </w:rPr>
              <w:t>ственной корпорации по космической деятельности "Роскосмос" и подведомственных им организаций" (ред. от 31.10.2024)</w:t>
            </w:r>
          </w:p>
        </w:tc>
      </w:tr>
      <w:tr w:rsidR="00000000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a4"/>
            </w:pPr>
            <w:r>
              <w:t>Приказ Судебного департамента при Верховном Суде РФ от 24.10.2018 N 217 "Об утверждении нормативных затрат на обеспечение функций федеральн</w:t>
            </w:r>
            <w:r>
              <w:t>ых судов общей юрисдикции, федеральных арбитражных судов, органов судейского сообщества и управлений Судебного департамента в субъектах Российской Федерации" (ред. от 14.04.2021, с изм. от 27.06.2025)</w:t>
            </w:r>
          </w:p>
        </w:tc>
      </w:tr>
      <w:tr w:rsidR="00000000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a4"/>
            </w:pPr>
            <w:r>
              <w:rPr>
                <w:color w:val="172B4D"/>
              </w:rPr>
              <w:t>Приказ Судебного департамента при Верховном Суде РФ от</w:t>
            </w:r>
            <w:r>
              <w:rPr>
                <w:color w:val="172B4D"/>
              </w:rPr>
              <w:t xml:space="preserve"> 11.05.2023 N 81 "Об утверждении Положения о порядке и нормах обеспечения мантиями и служебным обмундированием судей федеральных судов общей юрисдикции и федеральных арбитражных судов, Положения о порядке и нормах обеспечения служебным обмундированием имею</w:t>
            </w:r>
            <w:r>
              <w:rPr>
                <w:color w:val="172B4D"/>
              </w:rPr>
              <w:t>щих классные чины работников федеральных судов общей юрисдикции и федеральных арбитражных судов" (с изм. от 11.08.2025)</w:t>
            </w:r>
          </w:p>
        </w:tc>
      </w:tr>
    </w:tbl>
    <w:p w:rsidR="00000000" w:rsidRDefault="00386BC2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386BC2">
      <w:pPr>
        <w:pStyle w:val="code-line"/>
      </w:pPr>
      <w:r>
        <w:t>BPMN-файл: OBP55_organizatsiya_otpuska_tovarno-materialnykh_tsennostey_bpmn_asis</w:t>
      </w:r>
      <w:r>
        <w:t>.bpmn</w:t>
      </w:r>
    </w:p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413735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Поступила заявка на МТО и ТМЦ есть на складе (переход из ОБП53:Формирование потребности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Поступила</w:t>
            </w:r>
            <w:r>
              <w:rPr>
                <w:rFonts w:eastAsia="Times New Roman"/>
              </w:rPr>
              <w:t xml:space="preserve"> заявка на МТО и ТМЦ есть на складе (переход из ОБП53:Формирование потребности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локальный акт о нормах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 изучает локальный акт о нормах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Потребность в ТМЦ превышает норму?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Эксклюзивный шлюз </w:t>
            </w:r>
          </w:p>
          <w:p w:rsidR="00000000" w:rsidRDefault="00386BC2">
            <w:pPr>
              <w:pStyle w:val="a4"/>
            </w:pPr>
            <w:r>
              <w:t>Потребность в ТМЦ превышает норму?</w:t>
            </w:r>
          </w:p>
          <w:p w:rsidR="00000000" w:rsidRDefault="00386BC2">
            <w:pPr>
              <w:pStyle w:val="a4"/>
            </w:pPr>
            <w:r>
              <w:t>Да - переход к шагу 3</w:t>
            </w:r>
          </w:p>
          <w:p w:rsidR="00000000" w:rsidRDefault="00386BC2">
            <w:pPr>
              <w:pStyle w:val="a4"/>
            </w:pPr>
            <w:r>
              <w:t>Нет -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 выдаче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после получения заявки на МТО принимает решен</w:t>
            </w:r>
            <w:r>
              <w:rPr>
                <w:rFonts w:eastAsia="Times New Roman"/>
              </w:rPr>
              <w:t>ие о выдаче запрошенного ТМЦ сотруднику.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Выдать ТМЦ?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Эксклюзивный шлюз </w:t>
            </w:r>
          </w:p>
          <w:p w:rsidR="00000000" w:rsidRDefault="00386BC2">
            <w:pPr>
              <w:pStyle w:val="a4"/>
            </w:pPr>
            <w:r>
              <w:t>Выдать ТМЦ?</w:t>
            </w:r>
          </w:p>
          <w:p w:rsidR="00000000" w:rsidRDefault="00386BC2">
            <w:pPr>
              <w:pStyle w:val="a4"/>
            </w:pPr>
            <w:r>
              <w:t>Да - переход к шагу 6</w:t>
            </w:r>
          </w:p>
          <w:p w:rsidR="00000000" w:rsidRDefault="00386BC2">
            <w:pPr>
              <w:pStyle w:val="a4"/>
            </w:pPr>
            <w:r>
              <w:t>Нет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Отказано в выдаче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на МТО с визой о выдаче сверхнормы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визу о выдаче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Руководитель МТО ставит визу о выдаче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Эксклюзивный шлюз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Выдать ТМЦ со склада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Сотрудник склада на основе полученного распоряжения о выдаче ТМЦ, выдаёт ТМЦ.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(автор заявки)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Журнал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подпись в журнале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получении ТМЦ сотрудник (автор заявки) рассписывается в журнале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 перемещение/ списание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Сотрудник бухгалтерии в таблице складского учета отмечает выдачу ТМЦ,  если ТМЦ был перемещен, то указывает кому и в какой кабинет.</w:t>
            </w:r>
          </w:p>
          <w:p w:rsidR="00000000" w:rsidRDefault="00386BC2">
            <w:pPr>
              <w:pStyle w:val="a4"/>
            </w:pPr>
            <w:r>
              <w:t>Если ТМЦ - основное средство, то учитывается перемещение.</w:t>
            </w:r>
          </w:p>
          <w:p w:rsidR="00000000" w:rsidRDefault="00386BC2">
            <w:pPr>
              <w:pStyle w:val="a4"/>
            </w:pPr>
            <w:r>
              <w:t>Если ТМЦ - расходный материал, то списание.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  <w:tr w:rsidR="00000000">
        <w:trPr>
          <w:divId w:val="241373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ТМЦ выдан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</w:p>
        </w:tc>
      </w:tr>
    </w:tbl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56323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Работа с ТМЦ на складе</w:t>
            </w:r>
          </w:p>
        </w:tc>
      </w:tr>
      <w:tr w:rsidR="00000000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Согласование выдачи ТМЦ</w:t>
            </w:r>
          </w:p>
        </w:tc>
      </w:tr>
      <w:tr w:rsidR="00000000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(автор заявки)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ТМЦ</w:t>
            </w:r>
          </w:p>
        </w:tc>
      </w:tr>
      <w:tr w:rsidR="00000000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 ТМЦ</w:t>
            </w:r>
          </w:p>
        </w:tc>
      </w:tr>
    </w:tbl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386BC2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386BC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73732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573732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3"/>
            </w:pPr>
            <w:r>
              <w:t>Заявка на МТО с визой о выдаче сверхнормы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2"/>
            </w:pPr>
          </w:p>
        </w:tc>
      </w:tr>
      <w:tr w:rsidR="00000000">
        <w:trPr>
          <w:divId w:val="1573732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8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3"/>
            </w:pPr>
            <w:r>
              <w:t>Журнал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86BC2">
            <w:pPr>
              <w:pStyle w:val="p2"/>
            </w:pPr>
          </w:p>
        </w:tc>
      </w:tr>
    </w:tbl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386BC2">
      <w:pPr>
        <w:pStyle w:val="a4"/>
      </w:pPr>
      <w:r>
        <w:t>Межведомственное взаимодействие отсутствует</w:t>
      </w:r>
    </w:p>
    <w:p w:rsidR="00000000" w:rsidRDefault="00386BC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386BC2">
      <w:pPr>
        <w:pStyle w:val="a4"/>
      </w:pPr>
      <w:r>
        <w:t>Сроки действий в процессе не регламентированы</w:t>
      </w:r>
    </w:p>
    <w:p w:rsidR="00000000" w:rsidRDefault="00386BC2">
      <w:pPr>
        <w:pStyle w:val="a4"/>
      </w:pPr>
    </w:p>
    <w:p w:rsidR="00000000" w:rsidRDefault="00386BC2">
      <w:pPr>
        <w:pStyle w:val="a4"/>
      </w:pPr>
    </w:p>
    <w:p w:rsidR="00386BC2" w:rsidRDefault="00386BC2">
      <w:pPr>
        <w:pStyle w:val="a4"/>
      </w:pPr>
    </w:p>
    <w:sectPr w:rsidR="00386BC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55"/>
    <w:rsid w:val="00026B27"/>
    <w:rsid w:val="00386BC2"/>
    <w:rsid w:val="0072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7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ОБП55: Организация отпуска товарно-материальных ценностей</vt:lpstr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ОБП55: Организация отпуска товарно-материальных ценностей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2025-11-19T14:36:00Z</dcterms:created>
  <dcterms:modified xsi:type="dcterms:W3CDTF">2025-11-19T14:36:00Z</dcterms:modified>
</cp:coreProperties>
</file>