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1. Нормативно-правовые акты, регулирующие процесс</w:t>
      </w:r>
    </w:p>
    <w:tbl>
      <w:tblPr>
        <w:tblW w:w="1858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86"/>
      </w:tblGrid>
      <w:tr>
        <w:trPr>
          <w:tblHeader w:val="true"/>
        </w:trPr>
        <w:tc>
          <w:tcPr>
            <w:tcW w:w="185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/>
        <w:tc>
          <w:tcPr>
            <w:tcW w:w="185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>
        <w:trPr/>
        <w:tc>
          <w:tcPr>
            <w:tcW w:w="185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Федеральный закон от 22.04.1996 N 39-ФЗ (ред. от 31.07.2025) "О рынке ценных бумаг"</w:t>
            </w:r>
          </w:p>
        </w:tc>
      </w:tr>
      <w:tr>
        <w:trPr/>
        <w:tc>
          <w:tcPr>
            <w:tcW w:w="185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"Арбитражный процессуальный кодекс Российской Федерации" от 24.07.2002 N 95-ФЗ (ред. от 01.04.2025)</w:t>
            </w:r>
          </w:p>
        </w:tc>
      </w:tr>
      <w:tr>
        <w:trPr/>
        <w:tc>
          <w:tcPr>
            <w:tcW w:w="185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Постановление Пленума ВАС РФ от 15.12.2004 N 29 (ред. от 17.12.2024) "О некоторых вопросах практики применения Федерального закона "О несостоятельности (банкротстве)"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Схема процесса</w:t>
      </w:r>
    </w:p>
    <w:p>
      <w:pPr>
        <w:pStyle w:val="BodyText"/>
        <w:bidi w:val="0"/>
        <w:jc w:val="left"/>
        <w:rPr/>
      </w:pPr>
      <w:r>
        <w:rPr/>
        <w:t>BPMN-файл: TBP103_ustanovit_soblyudenie_trebovaniy_bankrot_spets_obsch_bpmn_tobe.bpmn</w:t>
      </w:r>
    </w:p>
    <w:p>
      <w:pPr>
        <w:pStyle w:val="Heading2"/>
        <w:bidi w:val="0"/>
        <w:jc w:val="left"/>
        <w:rPr/>
      </w:pPr>
      <w:r>
        <w:rPr/>
        <w:t>3. Описание схемы бизнес-процессов</w:t>
      </w:r>
    </w:p>
    <w:tbl>
      <w:tblPr>
        <w:tblW w:w="217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9"/>
        <w:gridCol w:w="1722"/>
        <w:gridCol w:w="2044"/>
        <w:gridCol w:w="1887"/>
        <w:gridCol w:w="3558"/>
        <w:gridCol w:w="1456"/>
        <w:gridCol w:w="9697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действия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Роль (актор на конкретном шаге, в т.ч. Система)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Входящие материалы (объект/данные, инициирующие шаги)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Исходящие материалы (объект, являющийся результатом действия)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Наименование шага процесса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Срок (срок и шаг с которого считается срок)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5"/>
              <w:bidi w:val="0"/>
              <w:ind w:hanging="0" w:left="0" w:right="0"/>
              <w:rPr/>
            </w:pPr>
            <w:r>
              <w:rPr/>
              <w:t>Описание процесса (актор и описание)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Необходимость установить соблюдение требований банкротства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Возникла необходимость установить соблюдение требований банкротства специализированного общества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Специализированное общество (СО)— это особая организация, создаваемая, как правило, для выпуска ипотечных ценных бумаг (например, ипотечных облигаций). Для СО действуют специальные правила банкротства. Факт соблюдения требований законодательства о банкротстве устанавливается арбитражным судом, который рассматривает дело о несостоятельности данного специализированного общества. Особенности правового регулирования банкротства специализированных обществ и ипотечных агентов определяются необходимостью обеспечения интересов залогодержателей - владельцев облигаций, обеспеченных залогом денежных требований и иного имущества, эмитированных специализированными обществами, и залогодержателей - владельцев облигаций с ипотечным покрытием, эмитированных ипотечными агентами. 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 арбитражного суда принимает решение о необходимости проверки соблюдения требований банкротства специализированного общества. Старт процесса.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Запрос в ведомство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Выписка ЕГРЮЛ</w:t>
            </w:r>
          </w:p>
        </w:tc>
        <w:tc>
          <w:tcPr>
            <w:tcW w:w="3558" w:type="dxa"/>
            <w:tcBorders/>
            <w:vAlign w:val="center"/>
          </w:tcPr>
          <w:p>
            <w:r>
              <w:t>ТБП23.Направить запрос в ведомство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Для уточнения статуса специализированного общества запрос может направляться в следующие ведомства: · Федеральная налоговая служба (ФНС России) · Банк России (ЦБ РФ) · Национальный расчетный депозитарий (НРД) / Регистратор · Росреестр (в части ипотечных активов) Помощнику судьи необходимо направить запрос в соответствующее ведомство для получения дополнительной информации о юридическом лице. Переход к типовому процессу «Направить запрос в ведомство», результатом которого будет полученный помощником судьи ответ на направленные запросы в ведомства.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Запрос формируется системой автоматически по форме и направляется в ведомство посредством настроенной интеграции. Получение и обработка системой ответа, </w:t>
            </w:r>
            <w:r>
              <w:rPr/>
              <w:t>уведомление судьи</w:t>
            </w:r>
            <w:r>
              <w:rPr/>
              <w:t xml:space="preserve"> — внутри процесса.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Система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Выписка ЕГРЮЛ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Проанализировать дело и выписку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Система анализирует (LLM или скрипт) выписку ЕГРЮЛ и судебное дело и отвечает на следующие вопросы:</w:t>
              <w:br/>
              <w:br/>
              <w:t>Полное фирменное наименование содержит слова "специализированное финансовое общество" или "специализированное общество проектного финансирования"?</w:t>
              <w:br/>
              <w:br/>
              <w:t>Заявление подано представителем владельцев облигаций?</w:t>
              <w:br/>
              <w:br/>
              <w:t xml:space="preserve">Суду известны данные о соответствии признакам специализированного общества?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Необходимо уточнить данные?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Эксклюзивный шлюз.  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Судья арбитражного суда считает необходимым уточнить данных о юридическом лице, для принятия решения о его соответствии признакам специализированного общества? 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Если </w:t>
            </w:r>
            <w:r>
              <w:rPr/>
              <w:t xml:space="preserve">Да: переход к шагу 4 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Если </w:t>
            </w:r>
            <w:r>
              <w:rPr/>
              <w:t>Нет: переход к шагу 5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r>
              <w:t>ТБП23.Направить запрос в ведомство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Для уточнения статуса специализированного общества запрос может направляться в следующие ведомства:</w:t>
            </w:r>
          </w:p>
          <w:p>
            <w:pPr>
              <w:pStyle w:val="BodyText"/>
              <w:pBdr/>
              <w:bidi w:val="0"/>
              <w:ind w:hanging="0" w:left="0" w:right="0"/>
              <w:jc w:val="left"/>
              <w:rPr/>
            </w:pPr>
            <w:r>
              <w:rPr/>
              <w:t>·Федеральная налоговая служба (ФНС России)</w:t>
            </w:r>
          </w:p>
          <w:p>
            <w:pPr>
              <w:pStyle w:val="BodyText"/>
              <w:pBdr/>
              <w:bidi w:val="0"/>
              <w:ind w:hanging="0" w:left="0" w:right="0"/>
              <w:jc w:val="left"/>
              <w:rPr/>
            </w:pPr>
            <w:r>
              <w:rPr/>
              <w:t>·Банк России (ЦБ РФ)</w:t>
            </w:r>
          </w:p>
          <w:p>
            <w:pPr>
              <w:pStyle w:val="BodyText"/>
              <w:pBdr/>
              <w:bidi w:val="0"/>
              <w:ind w:hanging="0" w:left="0" w:right="0"/>
              <w:jc w:val="left"/>
              <w:rPr/>
            </w:pPr>
            <w:r>
              <w:rPr/>
              <w:t>·Национальный расчетный депозитарий (НРД) / Регистратор</w:t>
            </w:r>
          </w:p>
          <w:p>
            <w:pPr>
              <w:pStyle w:val="BodyText"/>
              <w:pBdr/>
              <w:bidi w:val="0"/>
              <w:ind w:hanging="0" w:left="0" w:right="0"/>
              <w:jc w:val="left"/>
              <w:rPr/>
            </w:pPr>
            <w:r>
              <w:rPr/>
              <w:t>·Росреестр (в части ипотечных активов)</w:t>
            </w:r>
          </w:p>
          <w:p>
            <w:pPr>
              <w:pStyle w:val="BodyText"/>
              <w:pBdr/>
              <w:bidi w:val="0"/>
              <w:ind w:hanging="0" w:left="0" w:right="0"/>
              <w:jc w:val="left"/>
              <w:rPr/>
            </w:pPr>
            <w:r>
              <w:rPr/>
              <w:t>Помощнику судьи необходимо направить запрос в соответствующее ведомство для получения дополнительной информации о юридическом лице. Переход к типовому процессу «Направить запрос в ведомство», результатом которого будет полученный помощником судьи ответ на направленные запросы в ведомства.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 xml:space="preserve">Запрос формируется системой автоматически по форме и направляется в ведомство посредством настроенной интеграции. Получение и обработка системой ответа, </w:t>
            </w:r>
            <w:r>
              <w:rPr/>
              <w:t>уведомление судьи</w:t>
            </w:r>
            <w:r>
              <w:rPr/>
              <w:t xml:space="preserve"> — внутри процесса.</w:t>
            </w:r>
          </w:p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Заявление подано представителем владельцев облигаций? Эксклюзивный шлюз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Эксклюзивный шлюз. —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r>
              <w:t>ТБП139.Проверить выводы системы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Эксклюзивный открывающий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Суду известны данные о соответствии признакам специализированного общества? Эксклюзивный шлюз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Эксклюзивный шлюз. Да: переход к шагу 9 Нет: переход к шагу 8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Переход на шаг 1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 арбитражного суда возвращается к проверке полномочий представителя владельцев облигаций. Процесс переходит к шагу 3.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Необходимо уточнить данные? Эксклюзивный шлюз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Эксклюзивный шлюз. Да: переход к шагу 11 Нет: переход к шагу 10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Требования банкротства специализированного общества не соблюдены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 арбитражного суда принимает решение о том, что требования банкротства специализированного общества не соблюдены. Дело подлежит рассмотрению в общем порядке банкротства.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Судья</w:t>
            </w:r>
          </w:p>
        </w:tc>
        <w:tc>
          <w:tcPr>
            <w:tcW w:w="2044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3558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Требования банкротства специализированного общества соблюдены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969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left"/>
              <w:rPr/>
            </w:pPr>
            <w:r>
              <w:rPr/>
              <w:t>Судья арбитражного суда принимает решение о том, что требования банкротства специализированного общества соблюдены. Завершение процесса.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Пользователи и роли</w:t>
      </w:r>
    </w:p>
    <w:tbl>
      <w:tblPr>
        <w:tblW w:w="217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04"/>
        <w:gridCol w:w="15789"/>
      </w:tblGrid>
      <w:tr>
        <w:trPr>
          <w:tblHeader w:val="true"/>
        </w:trPr>
        <w:tc>
          <w:tcPr>
            <w:tcW w:w="6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1578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Выполняемые действия/функция</w:t>
            </w:r>
          </w:p>
        </w:tc>
      </w:tr>
      <w:tr>
        <w:trPr/>
        <w:tc>
          <w:tcPr>
            <w:tcW w:w="6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Судья арбитражного суда</w:t>
            </w:r>
          </w:p>
        </w:tc>
        <w:tc>
          <w:tcPr>
            <w:tcW w:w="1578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Принятие решений о соответствии юридического лица признакам специализированного общества, проверка фирменного наименования, анализ полномочий представителей, принятие итоговых решений о соблюдении требований банкротства</w:t>
            </w:r>
          </w:p>
        </w:tc>
      </w:tr>
      <w:tr>
        <w:trPr/>
        <w:tc>
          <w:tcPr>
            <w:tcW w:w="6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Помощник судьи арбитражного суда</w:t>
            </w:r>
          </w:p>
        </w:tc>
        <w:tc>
          <w:tcPr>
            <w:tcW w:w="1578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Направление запросов в ведомства, приобщение документов к материалам дела, доклад судье о статусе выполнения запросов, ведение делопроизводства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Реестр справочников</w:t>
      </w:r>
    </w:p>
    <w:tbl>
      <w:tblPr>
        <w:tblW w:w="217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09"/>
        <w:gridCol w:w="2758"/>
        <w:gridCol w:w="2671"/>
      </w:tblGrid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Название справочника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Процессуальные документы</w:t>
      </w:r>
    </w:p>
    <w:p>
      <w:pPr>
        <w:pStyle w:val="Heading3"/>
        <w:bidi w:val="0"/>
        <w:jc w:val="left"/>
        <w:rPr/>
      </w:pPr>
      <w:r>
        <w:rPr/>
        <w:t>6.1. Документы рассмотрения</w:t>
      </w:r>
    </w:p>
    <w:tbl>
      <w:tblPr>
        <w:tblW w:w="141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1"/>
        <w:gridCol w:w="2302"/>
        <w:gridCol w:w="2962"/>
        <w:gridCol w:w="2866"/>
        <w:gridCol w:w="5251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Форма (печатная/устная)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Входящий документ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Выписка из ЕГРЮЛ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</w:r>
          </w:p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Исходящий документ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Запрос в ведомство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6.2. Судебные акты</w:t>
      </w:r>
    </w:p>
    <w:tbl>
      <w:tblPr>
        <w:tblW w:w="152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1"/>
        <w:gridCol w:w="1738"/>
        <w:gridCol w:w="2962"/>
        <w:gridCol w:w="4258"/>
        <w:gridCol w:w="2338"/>
        <w:gridCol w:w="3175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Форма (протокольное/отдельный СА)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Образец / ссылка на облако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Межведомственное взаимодействие</w:t>
      </w:r>
    </w:p>
    <w:tbl>
      <w:tblPr>
        <w:tblW w:w="52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3"/>
        <w:gridCol w:w="2350"/>
        <w:gridCol w:w="1075"/>
      </w:tblGrid>
      <w:tr>
        <w:trPr>
          <w:tblHeader w:val="true"/>
        </w:trPr>
        <w:tc>
          <w:tcPr>
            <w:tcW w:w="181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Система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ФНС России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Электронный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СМЭВ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Банк России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Бумажный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Минфин России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Бумажный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Росреестр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Бумажный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Информация о сроках</w:t>
      </w:r>
    </w:p>
    <w:tbl>
      <w:tblPr>
        <w:tblW w:w="157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7"/>
        <w:gridCol w:w="5674"/>
        <w:gridCol w:w="2638"/>
        <w:gridCol w:w="5791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Шаг процесса</w:t>
            </w:r>
          </w:p>
        </w:tc>
        <w:tc>
          <w:tcPr>
            <w:tcW w:w="56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Описание действия, для которого установлен срок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Каким правовым актом установлен (при наличии)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6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Примечание: описываемый процесс не содержит специально установленных процессуальных сроков.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1</Pages>
  <Words>842</Words>
  <Characters>6246</Characters>
  <CharactersWithSpaces>6966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2025-10-27T05:48:10Z</dcterms:created>
  <dc:creator/>
  <dc:description/>
  <dc:language>ru-RU</dc:language>
  <cp:lastModifiedBy/>
  <dcterms:modified xsi:type="dcterms:W3CDTF">2025-10-27T05:54:28Z</dcterms:modified>
  <cp:revision>1</cp:revision>
  <dc:subject/>
  <dc:title/>
</cp:coreProperties>
</file>