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1433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ТБП134: "Рассмотреть вопрос о завершении реализации"</w:t>
      </w:r>
    </w:p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335543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4335543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  <w:tr w:rsidR="00000000">
        <w:trPr>
          <w:divId w:val="14335543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</w:tbl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1433F">
      <w:pPr>
        <w:pStyle w:val="code-line"/>
      </w:pPr>
      <w:r>
        <w:t>BPMN-файл: "TBP134_rassmotr_vopros_zavershenii_realizatsii_bpmn_asis.bpmn"</w:t>
      </w:r>
    </w:p>
    <w:p w:rsidR="00000000" w:rsidRDefault="0061433F">
      <w:pPr>
        <w:pStyle w:val="code-line"/>
      </w:pPr>
      <w:r>
        <w:t>Схема отражает процесс рассмотрения судом вопроса о завершении процедуры реализации</w:t>
      </w:r>
      <w:r>
        <w:t xml:space="preserve"> имущества должника в деле о банкротстве, включая:</w:t>
      </w:r>
    </w:p>
    <w:p w:rsidR="00000000" w:rsidRDefault="0061433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Обеспечение тайны совещательной комнаты</w:t>
      </w:r>
    </w:p>
    <w:p w:rsidR="00000000" w:rsidRDefault="0061433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применимого законодательства</w:t>
      </w:r>
    </w:p>
    <w:p w:rsidR="00000000" w:rsidRDefault="0061433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деятельности арбитражного управляющего</w:t>
      </w:r>
    </w:p>
    <w:p w:rsidR="00000000" w:rsidRDefault="0061433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Контроль полноты рассмотрения ходатайств и заявлений</w:t>
      </w:r>
    </w:p>
    <w:p w:rsidR="00000000" w:rsidRDefault="0061433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заве</w:t>
      </w:r>
      <w:r>
        <w:rPr>
          <w:rFonts w:eastAsia="Times New Roman"/>
        </w:rPr>
        <w:t>ршении реализации имущества</w:t>
      </w:r>
    </w:p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280949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Оценка доказательств завершена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вынесению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</w:t>
            </w:r>
            <w:r>
              <w:rPr>
                <w:rFonts w:eastAsia="Times New Roman"/>
              </w:rPr>
              <w:t>завершил оценку доказательств и переходит к вынесению решения по вопросу завершения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обеспечивает тайну совещательной комнаты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Тайна совещательной обеспечена?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проверяет, обеспечена ли тайна совещательной комнаты.</w:t>
            </w:r>
          </w:p>
          <w:p w:rsidR="00000000" w:rsidRDefault="0061433F">
            <w:pPr>
              <w:pStyle w:val="a3"/>
            </w:pPr>
            <w:r>
              <w:t>Да: переход к шагу 4,</w:t>
            </w:r>
          </w:p>
          <w:p w:rsidR="00000000" w:rsidRDefault="0061433F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обеспечить тайну совещательной суд пере</w:t>
            </w:r>
            <w:r>
              <w:rPr>
                <w:rFonts w:eastAsia="Times New Roman"/>
              </w:rPr>
              <w:t>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законы и нормативно-правовые акты, подлежащие применению при рассмотрении вопроса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ЛУВД ссылались на иные НПА?</w:t>
            </w:r>
          </w:p>
          <w:p w:rsidR="00000000" w:rsidRDefault="0061433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проверяет, ссылались ли лица, участвующие в деле, на иные нормативно-правовые акты.</w:t>
            </w:r>
          </w:p>
          <w:p w:rsidR="00000000" w:rsidRDefault="0061433F">
            <w:pPr>
              <w:pStyle w:val="a3"/>
            </w:pPr>
            <w:r>
              <w:t>Да: переход к шагу 6,</w:t>
            </w:r>
          </w:p>
          <w:p w:rsidR="00000000" w:rsidRDefault="0061433F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</w:t>
            </w:r>
            <w:r>
              <w:rPr>
                <w:rFonts w:eastAsia="Times New Roman"/>
              </w:rPr>
              <w:t>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мотивы неприменения нормативно-правовых актов, на которые ссылались участники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официальном толковании для правильного применения законодательства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</w:t>
            </w:r>
            <w:r>
              <w:rPr>
                <w:rFonts w:eastAsia="Times New Roman"/>
              </w:rPr>
              <w:t>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судебной практике для единообразного применения законодательства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арбитражного суда устанавливает права и обязанности лиц, участвующих в деле, на основе норм материального права в соответствии со ст. 41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12,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АУ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проверяет соответствие выводов арбитражного управляющего в отчете о проведении процедуры реализации имущества. Согласно ч.1 ст. 139 Федеральный закон от 26.10.2002 N 127-ФЗ:  </w:t>
            </w:r>
            <w:r>
              <w:rPr>
                <w:rFonts w:eastAsia="Times New Roman"/>
              </w:rPr>
              <w:t>В течение десяти рабочих дней с даты включения в Единый федеральный реестр сведений о банкротстве сведений о результатах инвентаризации имущества должника конкурсный кредитор или уполномоченный орган, если размер требования конкурсного кредитора или размер</w:t>
            </w:r>
            <w:r>
              <w:rPr>
                <w:rFonts w:eastAsia="Times New Roman"/>
              </w:rPr>
              <w:t xml:space="preserve"> требования уполномоченного органа превышает два процента общей суммы требований конкурсных кредиторов и уполномоченных органов, включенных в реестр требований кредиторов, вправе направить конкурсному управляющему требование о привлечении оценщика с указан</w:t>
            </w:r>
            <w:r>
              <w:rPr>
                <w:rFonts w:eastAsia="Times New Roman"/>
              </w:rPr>
              <w:t>ием состава имущества должника, в отношении которого требуется проведение оценки.</w:t>
            </w:r>
          </w:p>
          <w:p w:rsidR="00000000" w:rsidRDefault="0061433F">
            <w:pPr>
              <w:pStyle w:val="a3"/>
            </w:pPr>
          </w:p>
          <w:p w:rsidR="00000000" w:rsidRDefault="0061433F">
            <w:pPr>
              <w:pStyle w:val="a3"/>
            </w:pPr>
            <w:r>
              <w:t>В течение двух месяцев с даты поступления такого требования конкурсный управляющий обязан обеспечить проведение оценки указанного имущества за счет имущества должника. Свед</w:t>
            </w:r>
            <w:r>
              <w:t>ения об отчете об оценке имущества должника, указанные в абзаце пятом пункта 5.1 статьи 110 настоящего Федерального закона, с приложением копии такого отчета об оценке в форме электронного документа подлежат включению конкурсным управляющим в Единый федера</w:t>
            </w:r>
            <w:r>
              <w:t>льный реестр сведений о банкротстве в течение двух рабочих дней с даты поступления копии такого отчета об оценке в форме электронного документа.</w:t>
            </w:r>
          </w:p>
          <w:p w:rsidR="00000000" w:rsidRDefault="0061433F">
            <w:pPr>
              <w:pStyle w:val="a3"/>
            </w:pPr>
            <w:r>
              <w:br/>
              <w:t>Повторная оценка имущества должника, в отношении которого ранее уже было заявлено требование о проведении оцен</w:t>
            </w:r>
            <w:r>
              <w:t>ки в соответствии с настоящим пунктом, проводится в случае, если конкурсные кредиторы или уполномоченные органы примут на себя расходы на ее проведение.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надлежащее исполнение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надлежащее исполнени</w:t>
            </w:r>
            <w:r>
              <w:rPr>
                <w:rFonts w:eastAsia="Times New Roman"/>
              </w:rPr>
              <w:t>е арбитражным управляющим своих обязанностей при проведении процедуры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продлить реализацию имущества?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решает, необходимо ли продлить процедуру реализации имущества.</w:t>
            </w:r>
          </w:p>
          <w:p w:rsidR="00000000" w:rsidRDefault="0061433F">
            <w:pPr>
              <w:pStyle w:val="a3"/>
            </w:pPr>
            <w:r>
              <w:t>Да: переход к шагу 16,</w:t>
            </w:r>
          </w:p>
          <w:p w:rsidR="00000000" w:rsidRDefault="0061433F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ри необходимости продления реализации имущества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 контролирует полноту рассмотрения всех ходатайств и заявлений, поступивших в ходе процедуры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ОС рассмотрен</w:t>
            </w:r>
            <w:r>
              <w:rPr>
                <w:rFonts w:eastAsia="Times New Roman"/>
              </w:rPr>
              <w:t>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проверяет, все ли отложенные судебные заседания рассмотрены.</w:t>
            </w:r>
          </w:p>
          <w:p w:rsidR="00000000" w:rsidRDefault="0061433F">
            <w:pPr>
              <w:pStyle w:val="a3"/>
            </w:pPr>
            <w:r>
              <w:t>Да: переход к шагу 20,</w:t>
            </w:r>
          </w:p>
          <w:p w:rsidR="00000000" w:rsidRDefault="0061433F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  <w:color w:val="FF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ОС в зависимости от вида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наличии нерассмотренных отложенных судебных заседан</w:t>
            </w:r>
            <w:r>
              <w:rPr>
                <w:rFonts w:eastAsia="Times New Roman"/>
              </w:rPr>
              <w:t>ий суд переходит к их рассмотрению в зависимости от вида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Завершение процедуры реализации имущества должника создает препятствия для осуществления ЛУВД своих прав?</w:t>
            </w:r>
          </w:p>
          <w:p w:rsidR="00000000" w:rsidRDefault="0061433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проверяет, создает ли завершение процедуры реализации имущества препятствия для осуществления прав лиц, участвующих в деле.</w:t>
            </w:r>
          </w:p>
          <w:p w:rsidR="00000000" w:rsidRDefault="0061433F">
            <w:pPr>
              <w:pStyle w:val="a3"/>
            </w:pPr>
            <w:r>
              <w:t>Да: переход к шагу 21,</w:t>
            </w:r>
          </w:p>
          <w:p w:rsidR="00000000" w:rsidRDefault="0061433F">
            <w:pPr>
              <w:pStyle w:val="a3"/>
            </w:pPr>
            <w:r>
              <w:t>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Разрешить подлежит ли дело завершению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разрешает вопрос о том, подлежит ли дело завершению в связи с завершением процедуры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необходимые идентифицирующие реквизиты для завершения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Реквизиты для оплаты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реквизиты для оплаты</w:t>
            </w:r>
            <w:r>
              <w:rPr>
                <w:rFonts w:eastAsia="Times New Roman"/>
              </w:rPr>
              <w:t xml:space="preserve">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реквизиты для оплаты вознаграждения арбитражному управляющему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вопросы обеспечительных мер?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решает, необходимо ли разрешить вопросы обеспечительных мер.</w:t>
            </w:r>
          </w:p>
          <w:p w:rsidR="00000000" w:rsidRDefault="0061433F">
            <w:pPr>
              <w:pStyle w:val="a3"/>
            </w:pPr>
            <w:r>
              <w:t>Да: переход к шагу 26,</w:t>
            </w:r>
          </w:p>
          <w:p w:rsidR="00000000" w:rsidRDefault="0061433F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разрешения вопросов обеспечительных мер суд переходит к их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иные вопросы в ходе судебного разбирательства?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решает, необходимо ли разрешить иные вопросы в ходе судебного разбирательства.</w:t>
            </w:r>
          </w:p>
          <w:p w:rsidR="00000000" w:rsidRDefault="0061433F">
            <w:pPr>
              <w:pStyle w:val="a3"/>
            </w:pPr>
            <w:r>
              <w:t>Да: переход к шагу 28,</w:t>
            </w:r>
          </w:p>
          <w:p w:rsidR="00000000" w:rsidRDefault="0061433F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контролирует полноту рассмотрения всех ходатайств и заявлений по иным вопросам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</w:t>
            </w:r>
            <w:r>
              <w:rPr>
                <w:rFonts w:eastAsia="Times New Roman"/>
              </w:rPr>
              <w:t>проверяет, все ли заявления рассмотрены. Да: переход к шагу 33, 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перейти в судебное разбирательство?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решает, требуется ли перейти в судебное разбирательство для рассмотрения оставшихся заявлений.</w:t>
            </w:r>
          </w:p>
          <w:p w:rsidR="00000000" w:rsidRDefault="0061433F">
            <w:pPr>
              <w:pStyle w:val="a3"/>
            </w:pPr>
            <w:r>
              <w:t>Да: переход к шагу 31,</w:t>
            </w:r>
          </w:p>
          <w:p w:rsidR="00000000" w:rsidRDefault="0061433F">
            <w:pPr>
              <w:pStyle w:val="a3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судебного разбирательства суд переходит к прове</w:t>
            </w:r>
            <w:r>
              <w:rPr>
                <w:rFonts w:eastAsia="Times New Roman"/>
              </w:rPr>
              <w:t>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заявление по существу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61433F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pStyle w:val="a3"/>
            </w:pPr>
            <w:r>
              <w:t>Суд решает, необходимо ли дополнительное исследование доказательств или выяснение обстоятельств.</w:t>
            </w:r>
          </w:p>
          <w:p w:rsidR="00000000" w:rsidRDefault="0061433F">
            <w:pPr>
              <w:pStyle w:val="a3"/>
            </w:pPr>
            <w:r>
              <w:t>Да: переход к шагу 36,</w:t>
            </w:r>
          </w:p>
          <w:p w:rsidR="00000000" w:rsidRDefault="0061433F">
            <w:pPr>
              <w:pStyle w:val="a3"/>
            </w:pPr>
            <w: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дополнительного</w:t>
            </w:r>
            <w:r>
              <w:rPr>
                <w:rFonts w:eastAsia="Times New Roman"/>
              </w:rPr>
              <w:t xml:space="preserve"> исследования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об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об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вносит в информационную систему суда данные об определении о завершении процедуры реализации </w:t>
            </w:r>
            <w:r>
              <w:rPr>
                <w:rFonts w:eastAsia="Times New Roman"/>
              </w:rPr>
              <w:t>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280949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Реализация имущества завершена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завершения процедуры реализации имущества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519323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9519323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применимого законодательства, проверка деятельности арбитражного управляющего, контроль полноты рассмотрения ходатайств и заявлений, принятие решения о завершении процедуры реализац</w:t>
            </w:r>
            <w:r>
              <w:rPr>
                <w:rFonts w:eastAsia="Times New Roman"/>
              </w:rPr>
              <w:t>ии имущества, внесение данных в информационную систему суда</w:t>
            </w:r>
          </w:p>
        </w:tc>
      </w:tr>
    </w:tbl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1433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</w:t>
      </w:r>
      <w:r>
        <w:rPr>
          <w:rFonts w:eastAsia="Times New Roman"/>
        </w:rPr>
        <w:t>ые документы</w:t>
      </w:r>
    </w:p>
    <w:p w:rsidR="00000000" w:rsidRDefault="0061433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977980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977980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арбитражного управляющего о проведении процедуры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1433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552771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755277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арбитражного суда об утверждении порядка, сроков и условий продажи имущества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1433F">
      <w:pPr>
        <w:pStyle w:val="a3"/>
      </w:pPr>
      <w:r>
        <w:rPr>
          <w:color w:val="172B4D"/>
        </w:rPr>
        <w:t>Межведомственное взаимодействие описано в типовых процессах</w:t>
      </w:r>
    </w:p>
    <w:p w:rsidR="00000000" w:rsidRDefault="0061433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108142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</w:t>
            </w:r>
            <w:r>
              <w:rPr>
                <w:rFonts w:eastAsia="Times New Roman"/>
                <w:b/>
                <w:bCs/>
              </w:rPr>
              <w:t xml:space="preserve">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110814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1433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61433F" w:rsidRDefault="0061433F">
      <w:pPr>
        <w:divId w:val="2110814213"/>
        <w:rPr>
          <w:rFonts w:eastAsia="Times New Roman"/>
        </w:rPr>
      </w:pPr>
    </w:p>
    <w:sectPr w:rsidR="0061433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107A6"/>
    <w:multiLevelType w:val="multilevel"/>
    <w:tmpl w:val="5D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F9"/>
    <w:rsid w:val="006030F9"/>
    <w:rsid w:val="0061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094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1642</Words>
  <Characters>9361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типового ТБП134: "Рассмотреть вопрос о завершении реализации"</vt:lpstr>
    </vt:vector>
  </TitlesOfParts>
  <Company/>
  <LinksUpToDate>false</LinksUpToDate>
  <CharactersWithSpaces>10982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ТБП134: "Рассмотреть вопрос о завершении реализации"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2025-11-25T07:02:00Z</dcterms:created>
  <dcterms:modified xsi:type="dcterms:W3CDTF">2025-11-25T07:02:00Z</dcterms:modified>
</cp:coreProperties>
</file>