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D8F" w:rsidRPr="00171BDF" w:rsidRDefault="00B95D8F" w:rsidP="00B95D8F">
      <w:pPr>
        <w:pStyle w:val="a3"/>
        <w:spacing w:before="86"/>
        <w:rPr>
          <w:b/>
        </w:rPr>
      </w:pPr>
      <w:r w:rsidRPr="00171BDF">
        <w:rPr>
          <w:b/>
        </w:rPr>
        <w:t>ТБП35:Рарссмотреть вопрос о продлении/восстановлении срока</w:t>
      </w: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B95D8F" w:rsidRPr="00171BDF" w:rsidTr="00F04FD5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171BDF">
              <w:rPr>
                <w:sz w:val="24"/>
                <w:szCs w:val="24"/>
              </w:rPr>
              <w:t>ТБП35:Рассмотреть вопрос о продлении/восстановлении срока</w:t>
            </w:r>
          </w:p>
        </w:tc>
      </w:tr>
      <w:tr w:rsidR="00B95D8F" w:rsidRPr="00171BDF" w:rsidTr="00F04FD5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171BDF">
              <w:rPr>
                <w:b/>
                <w:w w:val="90"/>
                <w:sz w:val="24"/>
                <w:szCs w:val="24"/>
              </w:rPr>
              <w:t>Суть</w:t>
            </w:r>
            <w:r w:rsidRPr="00171BDF">
              <w:rPr>
                <w:b/>
                <w:spacing w:val="3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171BDF">
              <w:rPr>
                <w:sz w:val="24"/>
                <w:szCs w:val="24"/>
              </w:rPr>
              <w:t>Процесс направлен на рассмотрение ходатайства лица о восстановлении пропущенного процессуального срока либо о продлении установленного судом срока в порядке ст. 118 АПК РФ и начинается с возникновения у судьи необходимости рассмотреть вопрос о продлении или восстановлении срока — по поступившему ходатайству лица, участвующего в деле, поданному одновременно с совершением соответствующего процессуального действия. В рамках процесса судья определяет, требуется ли проведение судебного заседания, и при необходимости назначает и проводит его. Далее осуществляется проверка соблюдения специальных сроков, возможность их восстановления, а также анализируется факт пропуска срока. Судья исследует представленные доказательства и оценивает уважительность причин пропуска либо необходимость продления срока.  По результатам рассмотрения судья принимает одно из решений: выносит определение о восстановлении (продлении) процессуального срока либо об отказе в удовлетворении ходатайства, либо отражает соответствующий вывод в ином судебном акте. Процесс завершается принятием и направлением соответствующего судебного акта лицам, участвующим в деле.</w:t>
            </w:r>
          </w:p>
        </w:tc>
      </w:tr>
      <w:tr w:rsidR="00B95D8F" w:rsidRPr="00171BDF" w:rsidTr="00F04FD5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rPr>
                <w:sz w:val="24"/>
                <w:szCs w:val="24"/>
              </w:rPr>
            </w:pPr>
            <w:r w:rsidRPr="00171BDF">
              <w:rPr>
                <w:sz w:val="24"/>
                <w:szCs w:val="24"/>
              </w:rPr>
              <w:t>Судья, канцелярия</w:t>
            </w:r>
          </w:p>
        </w:tc>
      </w:tr>
      <w:tr w:rsidR="00B95D8F" w:rsidRPr="00171BDF" w:rsidTr="00F04FD5">
        <w:trPr>
          <w:trHeight w:val="4429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Арбитражный процессуальный кодекс Российской Федерации от 24.07.2002 N 95-ФЗ, статья 117 "Восстановление процессуальных сроков", статья 118. "Продление процессуальных сроков"</w:t>
            </w:r>
          </w:p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Постановление Пленума ВАС РФ от 25.12.2013 N 99 (ред. от 23.12.2021) "О процессуальных сроках"</w:t>
            </w:r>
          </w:p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  <w:p w:rsidR="00B95D8F" w:rsidRPr="00171BDF" w:rsidRDefault="00B95D8F" w:rsidP="00F04FD5">
            <w:pPr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before="100" w:beforeAutospacing="1" w:after="100" w:afterAutospacing="1" w:line="240" w:lineRule="atLeast"/>
              <w:ind w:left="0"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"Обзор судебной практики Верховного Суда Российской Федерации N 1 (2025)" (утв. Президиумом Верховного Суда РФ 25.04.2025) (ред. от 19.11.2025)</w:t>
            </w:r>
          </w:p>
        </w:tc>
      </w:tr>
    </w:tbl>
    <w:p w:rsidR="00B95D8F" w:rsidRPr="00171BDF" w:rsidRDefault="00B95D8F" w:rsidP="00B95D8F">
      <w:pPr>
        <w:pStyle w:val="a3"/>
        <w:spacing w:before="38"/>
        <w:rPr>
          <w:b/>
        </w:rPr>
      </w:pPr>
    </w:p>
    <w:p w:rsidR="00B95D8F" w:rsidRPr="00171BDF" w:rsidRDefault="00B95D8F" w:rsidP="00B95D8F">
      <w:pPr>
        <w:pStyle w:val="a3"/>
        <w:ind w:left="240"/>
      </w:pPr>
      <w:r w:rsidRPr="00171BDF">
        <w:t xml:space="preserve">1.Реестр </w:t>
      </w:r>
      <w:r w:rsidRPr="00171BDF">
        <w:rPr>
          <w:spacing w:val="-5"/>
        </w:rPr>
        <w:t>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B95D8F" w:rsidRPr="00171BDF" w:rsidTr="00F04FD5"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1BDF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1BDF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1BDF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1BDF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B95D8F" w:rsidRPr="00171BDF" w:rsidTr="00F04FD5"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выявлять пропущенные процессуальные сроки в электронном деле автоматически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своевременно инициировать процедуру восстановления или продления сроков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автоматически определять необходимость проведения судебного заседания на основе категории дела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оптимизировать процесс рассмотрения ходатайств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автоматически проверять сроки, установленные статьями 259, 276, 291.2, 308.1 и 312 АПК РФ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определить возможность их восстановления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исследовать представленные документы в подтверждение требований на предмет достаточности и допустимости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сделать вывод об уважительности причин пропуска срока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автоматически анализировать уведомления в электронном деле для определения факта незнания лица о начале течения срока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объективно оценить причины пропуска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получать рекомендации от OCR+LLM системы на основе выбора и доказательств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принимать обоснованные решения о восстановлении срока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использовать систему поддержки принятия решений с анализом судебной практики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обеспечить единообразие применяемых мер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автоматически определять необходимость принятия отдельного судебного акта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обеспечивать правильное оформление процессуальных решений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получать автоматически сгенерированные проекты определений об отказе или удовлетворении ходатайства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ускорить вынесение судебного акта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автоматически рассылать определения по электронной почте лицам, участвующим в деле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обеспечить своевременное уведомление о принятом судебном акте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Заявитель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получать автоматические уведомления о поступлении определения суда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своевременно ознакомиться с решением по ходатайству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Заявитель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изучать содержание определения суда в электронном виде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понять основания принятого решения</w:t>
            </w:r>
          </w:p>
        </w:tc>
      </w:tr>
      <w:tr w:rsidR="00B95D8F" w:rsidRPr="00171BDF" w:rsidTr="00F04FD5">
        <w:tc>
          <w:tcPr>
            <w:tcW w:w="0" w:type="auto"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Заявитель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обеспечивать автоматическую передачу данных о получении и прочтении определения в систему арбитражного суда</w:t>
            </w:r>
          </w:p>
        </w:tc>
        <w:tc>
          <w:tcPr>
            <w:tcW w:w="0" w:type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обеспечить точность расчета процессуальных сроков</w:t>
            </w:r>
          </w:p>
        </w:tc>
      </w:tr>
    </w:tbl>
    <w:p w:rsidR="00B95D8F" w:rsidRPr="00171BDF" w:rsidRDefault="00B95D8F" w:rsidP="00B95D8F">
      <w:pPr>
        <w:pStyle w:val="a3"/>
        <w:spacing w:before="45"/>
      </w:pPr>
    </w:p>
    <w:p w:rsidR="00B95D8F" w:rsidRPr="00171BDF" w:rsidRDefault="00B95D8F" w:rsidP="00B95D8F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171BDF">
        <w:rPr>
          <w:sz w:val="24"/>
          <w:szCs w:val="24"/>
        </w:rPr>
        <w:t>Схема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pacing w:val="-2"/>
          <w:sz w:val="24"/>
          <w:szCs w:val="24"/>
        </w:rPr>
        <w:t>процесса</w:t>
      </w:r>
    </w:p>
    <w:p w:rsidR="00B95D8F" w:rsidRPr="00171BDF" w:rsidRDefault="00B95D8F" w:rsidP="00B95D8F">
      <w:pPr>
        <w:pStyle w:val="a3"/>
        <w:spacing w:before="63"/>
        <w:rPr>
          <w:lang w:val="en-US"/>
        </w:rPr>
      </w:pPr>
    </w:p>
    <w:p w:rsidR="00B95D8F" w:rsidRPr="00171BDF" w:rsidRDefault="00B95D8F" w:rsidP="00B95D8F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171BDF">
        <w:rPr>
          <w:sz w:val="24"/>
          <w:szCs w:val="24"/>
        </w:rPr>
        <w:t>Описание</w:t>
      </w:r>
      <w:r w:rsidRPr="00171BDF">
        <w:rPr>
          <w:spacing w:val="-7"/>
          <w:sz w:val="24"/>
          <w:szCs w:val="24"/>
        </w:rPr>
        <w:t xml:space="preserve"> </w:t>
      </w:r>
      <w:r w:rsidRPr="00171BDF">
        <w:rPr>
          <w:sz w:val="24"/>
          <w:szCs w:val="24"/>
        </w:rPr>
        <w:t>схемы</w:t>
      </w:r>
      <w:r w:rsidRPr="00171BDF">
        <w:rPr>
          <w:spacing w:val="-6"/>
          <w:sz w:val="24"/>
          <w:szCs w:val="24"/>
        </w:rPr>
        <w:t xml:space="preserve"> </w:t>
      </w:r>
      <w:r w:rsidRPr="00171BDF">
        <w:rPr>
          <w:spacing w:val="-2"/>
          <w:sz w:val="24"/>
          <w:szCs w:val="24"/>
        </w:rPr>
        <w:t>процесса</w:t>
      </w:r>
    </w:p>
    <w:tbl>
      <w:tblPr>
        <w:tblW w:w="17060" w:type="dxa"/>
        <w:tblInd w:w="-8" w:type="dxa"/>
        <w:tblLook w:val="04A0" w:firstRow="1" w:lastRow="0" w:firstColumn="1" w:lastColumn="0" w:noHBand="0" w:noVBand="1"/>
      </w:tblPr>
      <w:tblGrid>
        <w:gridCol w:w="1260"/>
        <w:gridCol w:w="4180"/>
        <w:gridCol w:w="8400"/>
        <w:gridCol w:w="3220"/>
      </w:tblGrid>
      <w:tr w:rsidR="00B95D8F" w:rsidRPr="00171BDF" w:rsidTr="00F04FD5">
        <w:trPr>
          <w:trHeight w:val="63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Необходимо рассмотреть вопрос о продлении/восстановлении срока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Простое начальное событие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Зафиксировать факт необходимости рассмотрения вопроса о восстановлении/продлении процессуального срока по делу и инициировать дальнейшие действия процесса, автоматическое выявление пропущенных сроков в электронном деле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Уведомить о необходимости провести СЗ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Уведомить судью о необходимости определить, требуется ли проведение судебного заседания для рассмотрения вопроса о восстановлении/продлении срока.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709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5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ТБП44.Назначить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В рамках назначения СЗ определяется состав ЛУВД, дата, время и место заседания; результатом является определение о назначении СЗ.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974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6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ТБП68.Провести СЗ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Провести судебное заседание по вопросу восстановления/продления срока и зафиксировать результаты рассмотрения для принятия итогового решения в системе.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7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ТБП5.Проверить срок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Проверить соблюдение процессуальных сроков, подлежащих восстановлению/продлению предусмотренные статьями 259, 276, 291.2, 308.1 и 312 АПК РФ, для определения возможности удовлетворения ходатайства.</w:t>
            </w:r>
          </w:p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03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Принять решение по вопросу истечения процессуальных сроков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Принять решение о наличии/отсутствии истечения процессуальных сроков, ограничивающих возможность восстановления/продления.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Процессуальный срок для восстановления/продления пропущенного срока истек?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срок истек переход к фиксации отсутствия оснований для удовлетворения; не истек переход к проверке заявленных оснований и оценке доказательств.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Проверить заявленные основания восстановления/продления срока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Установить заявленные основания восстановления/продления срока для последующей оценки их подтверждения доказательствами.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8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ТБП59.Оценить доказательства по делу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Оценить представленные доказательства по делу на предмет достаточности и допустимости для подтверждения заявленных оснований, на основании оценки доказательств суд приходит к выводу об уважительности причин, по которым лицо ходатайствует о восстановлении/продлении.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Сформировать протокол проверки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на основе OCR+LLM формирует рекомендации по выбранному основанию и представленным доказательствам и фиксирует результаты (в т.ч. для последующего использования в шаблонах судебных актов) для последующего ознакомления и проверки судом.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Протокол проверки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9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Проверить выводы и рекомендации, сформированные системой, и подтвердить их применимость к материалам дела.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B95D8F" w:rsidRPr="00171BDF" w:rsidRDefault="00B95D8F" w:rsidP="00F04FD5">
            <w:pPr>
              <w:rPr>
                <w:sz w:val="24"/>
                <w:szCs w:val="24"/>
              </w:rPr>
            </w:pPr>
          </w:p>
          <w:p w:rsidR="00B95D8F" w:rsidRPr="00171BDF" w:rsidRDefault="00B95D8F" w:rsidP="00F04FD5">
            <w:pPr>
              <w:rPr>
                <w:sz w:val="24"/>
                <w:szCs w:val="24"/>
              </w:rPr>
            </w:pPr>
            <w:r w:rsidRPr="00171BDF">
              <w:rPr>
                <w:sz w:val="24"/>
                <w:szCs w:val="24"/>
              </w:rPr>
              <w:t>Дополнение (из старой версии): Судья использует рекомендации/аналитику судебной практики как поддержку принятия решения, проверяет применимость выводов к материалам дела.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Указать вывод об уважительности причин для восстановления/продления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Зафиксировать вывод судьи об уважительности либо неуважительности причин для восстановления/продления процессуального срока.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Причины для восстановления/продления признаны судом уважительными?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171BDF">
              <w:rPr>
                <w:sz w:val="24"/>
                <w:szCs w:val="24"/>
                <w:lang w:eastAsia="ru-RU"/>
              </w:rPr>
              <w:br/>
              <w:t xml:space="preserve">Назначение: причины уважительные фиксируются основания для восстановления/продления; фиксируется отсутствие оснований для удовлетворения. </w:t>
            </w:r>
          </w:p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Записать основания для восстановления/продления срока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Сохранить в системе подтвержденные основания для восстановления/продления срока для использования при подготовке судебных актов.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Завершить ветвление после фиксации оснований восстановления/продления и перейти к дальнейшим действиям по оформлению результата.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20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Записать отсутствие оснований для удовлетворения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Сохранить в системе факт отсутствия оснований для удовлетворения ходатайства для использования при подготовке судебных актов.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Завершить ветвление после фиксации отсутствия оснований и перейти к выбору способа оформления результата.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Выбрать опцию для формирования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Выбрать вариант оформления результата рассмотрения (отдельным судебным актом либо указанием в ином судебном акте).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Необходимо принять отдельный СА?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Определить, требуется ли принятие отдельного судебного акта по результату рассмотрения вопроса о восстановлении/продлении срока.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Определить СА, в котором необходимо указать результат рассмотрения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Определить судебный акт, в котором будет отражён результат рассмотрения, если отдельный акт не принимается.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Записать данные для использования в ином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Сохранить данные о результате рассмотрения для последующего включения в выбранный судебный акт.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Результат рассмотрения вопроса о восстановлении/продлении срока будет указан в ином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Завершить процесс с фиксацией, что результат рассмотрения вопроса будет указан в ином судебном акте.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Предложить перейти в процесс вынесения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Сервисная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Инициировать переход к процессу вынесения судебного акта (определения), предложив судье продолжить оформление результата.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Подтвердить переход к процессу вынесения СА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Подтвердить переход к процессу вынесения судебного акта для оформления результата рассмотрения вопроса.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252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10" w:history="1">
              <w:r w:rsidRPr="00171BDF">
                <w:rPr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Вызов активности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Принять и подписать судебный акт (определение) по результату рассмотрения вопроса о восстановлении/продлении срока.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Определение о продлении/восстановлении процессуального срока, Определение об отказе в продлении/восстановлении процессуального срока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B95D8F" w:rsidRPr="00171BDF" w:rsidTr="00F04FD5">
        <w:trPr>
          <w:trHeight w:val="18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Рассмотрен вопрос о продлении/восстановлении срока. Определение направлено заявителю.</w:t>
            </w:r>
          </w:p>
        </w:tc>
        <w:tc>
          <w:tcPr>
            <w:tcW w:w="8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171BDF">
              <w:rPr>
                <w:sz w:val="24"/>
                <w:szCs w:val="24"/>
                <w:lang w:eastAsia="ru-RU"/>
              </w:rPr>
              <w:br/>
              <w:t>Назначение: Зафиксировать завершение рассмотрения вопроса и факт направления определения заявителю.</w:t>
            </w:r>
            <w:r w:rsidRPr="00171BDF">
              <w:rPr>
                <w:sz w:val="24"/>
                <w:szCs w:val="24"/>
                <w:lang w:eastAsia="ru-RU"/>
              </w:rPr>
              <w:br/>
              <w:t>Роль: Судья</w:t>
            </w:r>
            <w:r w:rsidRPr="00171BDF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71BDF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95D8F" w:rsidRPr="00171BDF" w:rsidRDefault="00B95D8F" w:rsidP="00F04FD5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1BDF">
              <w:rPr>
                <w:sz w:val="24"/>
                <w:szCs w:val="24"/>
                <w:lang w:eastAsia="ru-RU"/>
              </w:rPr>
              <w:t> </w:t>
            </w:r>
          </w:p>
        </w:tc>
      </w:tr>
    </w:tbl>
    <w:p w:rsidR="00B95D8F" w:rsidRPr="00171BDF" w:rsidRDefault="00B95D8F" w:rsidP="00B95D8F">
      <w:pPr>
        <w:tabs>
          <w:tab w:val="left" w:pos="600"/>
        </w:tabs>
        <w:rPr>
          <w:sz w:val="24"/>
          <w:szCs w:val="24"/>
        </w:rPr>
      </w:pPr>
    </w:p>
    <w:p w:rsidR="00B95D8F" w:rsidRPr="00171BDF" w:rsidRDefault="00B95D8F" w:rsidP="00B95D8F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171BDF">
        <w:rPr>
          <w:sz w:val="24"/>
          <w:szCs w:val="24"/>
        </w:rPr>
        <w:t>Реестр</w:t>
      </w:r>
      <w:r w:rsidRPr="00171BDF">
        <w:rPr>
          <w:spacing w:val="-4"/>
          <w:sz w:val="24"/>
          <w:szCs w:val="24"/>
        </w:rPr>
        <w:t xml:space="preserve"> </w:t>
      </w:r>
      <w:r w:rsidRPr="00171BDF">
        <w:rPr>
          <w:sz w:val="24"/>
          <w:szCs w:val="24"/>
        </w:rPr>
        <w:t>UC</w:t>
      </w:r>
      <w:r w:rsidRPr="00171BDF">
        <w:rPr>
          <w:spacing w:val="40"/>
          <w:sz w:val="24"/>
          <w:szCs w:val="24"/>
        </w:rPr>
        <w:t xml:space="preserve"> </w:t>
      </w:r>
      <w:r w:rsidRPr="00171BDF">
        <w:rPr>
          <w:sz w:val="24"/>
          <w:szCs w:val="24"/>
        </w:rPr>
        <w:t>(в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>части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>выполняемых</w:t>
      </w:r>
      <w:r w:rsidRPr="00171BDF">
        <w:rPr>
          <w:spacing w:val="40"/>
          <w:sz w:val="24"/>
          <w:szCs w:val="24"/>
        </w:rPr>
        <w:t xml:space="preserve"> </w:t>
      </w:r>
      <w:r w:rsidRPr="00171BDF">
        <w:rPr>
          <w:sz w:val="24"/>
          <w:szCs w:val="24"/>
        </w:rPr>
        <w:t>пользователем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>задач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>и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>рекомендованной</w:t>
      </w:r>
      <w:r w:rsidRPr="00171BDF">
        <w:rPr>
          <w:spacing w:val="-5"/>
          <w:sz w:val="24"/>
          <w:szCs w:val="24"/>
        </w:rPr>
        <w:t xml:space="preserve"> </w:t>
      </w:r>
      <w:r w:rsidRPr="00171BDF">
        <w:rPr>
          <w:sz w:val="24"/>
          <w:szCs w:val="24"/>
        </w:rPr>
        <w:t xml:space="preserve">функциональности </w:t>
      </w:r>
      <w:r w:rsidRPr="00171BDF">
        <w:rPr>
          <w:spacing w:val="-2"/>
          <w:sz w:val="24"/>
          <w:szCs w:val="24"/>
        </w:rPr>
        <w:t>Системы)</w:t>
      </w:r>
    </w:p>
    <w:p w:rsidR="00B95D8F" w:rsidRPr="00171BDF" w:rsidRDefault="00B95D8F" w:rsidP="00B95D8F">
      <w:pPr>
        <w:pStyle w:val="a3"/>
        <w:spacing w:before="151" w:line="280" w:lineRule="auto"/>
        <w:ind w:left="240" w:right="328"/>
      </w:pPr>
      <w:r w:rsidRPr="00171BDF">
        <w:t>UC-001:</w:t>
      </w:r>
      <w:r w:rsidRPr="00171BDF">
        <w:rPr>
          <w:spacing w:val="-6"/>
        </w:rPr>
        <w:t xml:space="preserve"> </w:t>
      </w:r>
    </w:p>
    <w:p w:rsidR="00B95D8F" w:rsidRPr="00171BDF" w:rsidRDefault="00B95D8F" w:rsidP="00B95D8F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B95D8F" w:rsidRPr="00171BDF" w:rsidTr="00F04FD5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B95D8F" w:rsidRPr="00171BDF" w:rsidRDefault="00B95D8F" w:rsidP="00F04FD5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</w:tr>
      <w:tr w:rsidR="00B95D8F" w:rsidRPr="00171BDF" w:rsidTr="00F04FD5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w w:val="90"/>
                <w:sz w:val="24"/>
                <w:szCs w:val="24"/>
              </w:rPr>
              <w:t>№</w:t>
            </w:r>
            <w:r w:rsidRPr="00171BDF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71BDF">
              <w:rPr>
                <w:b/>
                <w:w w:val="90"/>
                <w:sz w:val="24"/>
                <w:szCs w:val="24"/>
              </w:rPr>
              <w:t>шага</w:t>
            </w:r>
            <w:r w:rsidRPr="00171BDF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171BDF">
              <w:rPr>
                <w:b/>
                <w:sz w:val="24"/>
                <w:szCs w:val="24"/>
              </w:rPr>
              <w:t>Роль</w:t>
            </w:r>
            <w:r w:rsidRPr="00171BDF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71BDF">
              <w:rPr>
                <w:b/>
                <w:sz w:val="24"/>
                <w:szCs w:val="24"/>
              </w:rPr>
              <w:t>(в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171BDF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6"/>
                <w:sz w:val="24"/>
                <w:szCs w:val="24"/>
              </w:rPr>
              <w:t>со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6"/>
                <w:sz w:val="24"/>
                <w:szCs w:val="24"/>
              </w:rPr>
              <w:t>Основной</w:t>
            </w:r>
            <w:r w:rsidRPr="00171BDF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B95D8F" w:rsidRPr="00171BDF" w:rsidTr="00F04FD5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171BDF">
              <w:rPr>
                <w:b/>
                <w:spacing w:val="-2"/>
                <w:sz w:val="24"/>
                <w:szCs w:val="24"/>
              </w:rPr>
              <w:t>Расширение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171BDF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171BDF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B95D8F" w:rsidRPr="00171BDF" w:rsidRDefault="00B95D8F" w:rsidP="00F04FD5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B95D8F" w:rsidRPr="00171BDF" w:rsidRDefault="00B95D8F" w:rsidP="00B95D8F">
      <w:pPr>
        <w:pStyle w:val="TableParagraph"/>
        <w:spacing w:line="280" w:lineRule="auto"/>
        <w:ind w:left="0"/>
        <w:rPr>
          <w:sz w:val="24"/>
          <w:szCs w:val="24"/>
        </w:rPr>
        <w:sectPr w:rsidR="00B95D8F" w:rsidRPr="00171BDF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p w:rsidR="00B95D8F" w:rsidRPr="00171BDF" w:rsidRDefault="00B95D8F" w:rsidP="00B95D8F">
      <w:pPr>
        <w:pStyle w:val="a3"/>
        <w:spacing w:before="4"/>
      </w:pPr>
    </w:p>
    <w:p w:rsidR="006A0B97" w:rsidRPr="00B95D8F" w:rsidRDefault="006A0B97" w:rsidP="00B95D8F">
      <w:bookmarkStart w:id="0" w:name="_GoBack"/>
      <w:bookmarkEnd w:id="0"/>
    </w:p>
    <w:sectPr w:rsidR="006A0B97" w:rsidRPr="00B95D8F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5A75"/>
    <w:multiLevelType w:val="multilevel"/>
    <w:tmpl w:val="19F4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7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1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1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23BF"/>
    <w:rsid w:val="000215DB"/>
    <w:rsid w:val="000859A9"/>
    <w:rsid w:val="00085F72"/>
    <w:rsid w:val="000A5B35"/>
    <w:rsid w:val="000A5DA6"/>
    <w:rsid w:val="000B7729"/>
    <w:rsid w:val="000C3F05"/>
    <w:rsid w:val="000C46D3"/>
    <w:rsid w:val="000D085D"/>
    <w:rsid w:val="000E735A"/>
    <w:rsid w:val="000F45C1"/>
    <w:rsid w:val="00103293"/>
    <w:rsid w:val="00105A58"/>
    <w:rsid w:val="00113AD4"/>
    <w:rsid w:val="001345D2"/>
    <w:rsid w:val="001362DB"/>
    <w:rsid w:val="001379E5"/>
    <w:rsid w:val="00144A51"/>
    <w:rsid w:val="00147521"/>
    <w:rsid w:val="00153B9D"/>
    <w:rsid w:val="001B0B74"/>
    <w:rsid w:val="001C15DC"/>
    <w:rsid w:val="001F6326"/>
    <w:rsid w:val="00202DF9"/>
    <w:rsid w:val="00214D69"/>
    <w:rsid w:val="002227F5"/>
    <w:rsid w:val="00224050"/>
    <w:rsid w:val="00230B66"/>
    <w:rsid w:val="00287D99"/>
    <w:rsid w:val="002A465D"/>
    <w:rsid w:val="002E1F72"/>
    <w:rsid w:val="002E7324"/>
    <w:rsid w:val="003168C0"/>
    <w:rsid w:val="00335474"/>
    <w:rsid w:val="00335DBA"/>
    <w:rsid w:val="00343318"/>
    <w:rsid w:val="003526E5"/>
    <w:rsid w:val="00363156"/>
    <w:rsid w:val="00374FA2"/>
    <w:rsid w:val="00376557"/>
    <w:rsid w:val="00377A62"/>
    <w:rsid w:val="00383BA4"/>
    <w:rsid w:val="003A04B6"/>
    <w:rsid w:val="003F1032"/>
    <w:rsid w:val="00434089"/>
    <w:rsid w:val="0047460C"/>
    <w:rsid w:val="00475476"/>
    <w:rsid w:val="00475610"/>
    <w:rsid w:val="004B0C54"/>
    <w:rsid w:val="004B359D"/>
    <w:rsid w:val="004D49F5"/>
    <w:rsid w:val="004D5AD1"/>
    <w:rsid w:val="00514F67"/>
    <w:rsid w:val="005215FC"/>
    <w:rsid w:val="00542926"/>
    <w:rsid w:val="00563076"/>
    <w:rsid w:val="005A2D89"/>
    <w:rsid w:val="005D36FD"/>
    <w:rsid w:val="005E2B62"/>
    <w:rsid w:val="00602FCB"/>
    <w:rsid w:val="00604AD6"/>
    <w:rsid w:val="00606F10"/>
    <w:rsid w:val="00640F3D"/>
    <w:rsid w:val="006416B6"/>
    <w:rsid w:val="006615A5"/>
    <w:rsid w:val="00695674"/>
    <w:rsid w:val="006A0B97"/>
    <w:rsid w:val="006A1F02"/>
    <w:rsid w:val="006A255B"/>
    <w:rsid w:val="006D029F"/>
    <w:rsid w:val="006D0A2F"/>
    <w:rsid w:val="006E605E"/>
    <w:rsid w:val="00715D7B"/>
    <w:rsid w:val="0073389D"/>
    <w:rsid w:val="00745E68"/>
    <w:rsid w:val="00762F47"/>
    <w:rsid w:val="00763FAA"/>
    <w:rsid w:val="00791E2A"/>
    <w:rsid w:val="00791FB8"/>
    <w:rsid w:val="007B0C7A"/>
    <w:rsid w:val="007B2F10"/>
    <w:rsid w:val="007B44E6"/>
    <w:rsid w:val="007C298F"/>
    <w:rsid w:val="007D7043"/>
    <w:rsid w:val="007F5F27"/>
    <w:rsid w:val="008022A1"/>
    <w:rsid w:val="00811755"/>
    <w:rsid w:val="008165A7"/>
    <w:rsid w:val="00820F61"/>
    <w:rsid w:val="008223B8"/>
    <w:rsid w:val="0083018C"/>
    <w:rsid w:val="00837309"/>
    <w:rsid w:val="0087059E"/>
    <w:rsid w:val="0088370A"/>
    <w:rsid w:val="008A3FCE"/>
    <w:rsid w:val="008A4188"/>
    <w:rsid w:val="008D5EDC"/>
    <w:rsid w:val="00932CE0"/>
    <w:rsid w:val="00964390"/>
    <w:rsid w:val="009A48EC"/>
    <w:rsid w:val="009A689A"/>
    <w:rsid w:val="009B17B8"/>
    <w:rsid w:val="009B6E38"/>
    <w:rsid w:val="009C7604"/>
    <w:rsid w:val="00A12027"/>
    <w:rsid w:val="00A217C8"/>
    <w:rsid w:val="00A357D5"/>
    <w:rsid w:val="00A44BBA"/>
    <w:rsid w:val="00A668C5"/>
    <w:rsid w:val="00A87768"/>
    <w:rsid w:val="00A9139B"/>
    <w:rsid w:val="00AA00FC"/>
    <w:rsid w:val="00AC7AC0"/>
    <w:rsid w:val="00B0301C"/>
    <w:rsid w:val="00B04574"/>
    <w:rsid w:val="00B27FF7"/>
    <w:rsid w:val="00B43A69"/>
    <w:rsid w:val="00B72BFD"/>
    <w:rsid w:val="00B82B14"/>
    <w:rsid w:val="00B95D8F"/>
    <w:rsid w:val="00BF101E"/>
    <w:rsid w:val="00C0783C"/>
    <w:rsid w:val="00C168FA"/>
    <w:rsid w:val="00C24343"/>
    <w:rsid w:val="00C438F0"/>
    <w:rsid w:val="00CA07BC"/>
    <w:rsid w:val="00CA3A63"/>
    <w:rsid w:val="00CB0856"/>
    <w:rsid w:val="00CC0B1A"/>
    <w:rsid w:val="00CC2009"/>
    <w:rsid w:val="00CC7C8B"/>
    <w:rsid w:val="00D178BB"/>
    <w:rsid w:val="00D47974"/>
    <w:rsid w:val="00D54E24"/>
    <w:rsid w:val="00D66793"/>
    <w:rsid w:val="00DA2D9F"/>
    <w:rsid w:val="00DE6A68"/>
    <w:rsid w:val="00E461DE"/>
    <w:rsid w:val="00E66BD8"/>
    <w:rsid w:val="00E70A6F"/>
    <w:rsid w:val="00EA04B0"/>
    <w:rsid w:val="00ED3F20"/>
    <w:rsid w:val="00EE4603"/>
    <w:rsid w:val="00EF1424"/>
    <w:rsid w:val="00F05F43"/>
    <w:rsid w:val="00F65448"/>
    <w:rsid w:val="00F73E2A"/>
    <w:rsid w:val="00F77547"/>
    <w:rsid w:val="00F86D17"/>
    <w:rsid w:val="00F92C86"/>
    <w:rsid w:val="00FA4F17"/>
    <w:rsid w:val="00FB7D40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0E735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35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table" w:styleId="aa">
    <w:name w:val="Table Grid"/>
    <w:basedOn w:val="a1"/>
    <w:uiPriority w:val="39"/>
    <w:rsid w:val="004B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60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035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709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4943" TargetMode="External"/><Relationship Id="rId10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31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2181</TotalTime>
  <Pages>1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126</cp:revision>
  <dcterms:created xsi:type="dcterms:W3CDTF">2025-12-18T13:25:00Z</dcterms:created>
  <dcterms:modified xsi:type="dcterms:W3CDTF">2026-02-16T07:28:00Z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