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30"/>
        <w:rPr>
          <w:rFonts w:eastAsia="Times New Roman"/>
        </w:rPr>
      </w:pPr>
      <w:r/>
      <w:bookmarkStart w:id="0" w:name="_GoBack"/>
      <w:r/>
      <w:bookmarkEnd w:id="0"/>
      <w:r>
        <w:rPr>
          <w:rFonts w:eastAsia="Times New Roman"/>
        </w:rPr>
        <w:t xml:space="preserve">Описание ТБП55: "Зарегистрировать дело/документ"</w:t>
      </w:r>
      <w:r>
        <w:rPr>
          <w:rFonts w:eastAsia="Times New Roman"/>
        </w:rPr>
      </w:r>
      <w:r>
        <w:rPr>
          <w:rFonts w:eastAsia="Times New Roman"/>
        </w:rPr>
      </w:r>
    </w:p>
    <w:p>
      <w:pPr>
        <w:pStyle w:val="838"/>
      </w:pPr>
      <w:r/>
      <w:r/>
    </w:p>
    <w:p>
      <w:pPr>
        <w:pStyle w:val="831"/>
        <w:rPr>
          <w:rFonts w:eastAsia="Times New Roman"/>
        </w:rPr>
      </w:pPr>
      <w:r>
        <w:rPr>
          <w:rFonts w:eastAsia="Times New Roman"/>
        </w:rPr>
        <w:t xml:space="preserve">1. Название НПА с реквизитами</w:t>
      </w:r>
      <w:r>
        <w:rPr>
          <w:rFonts w:eastAsia="Times New Roman"/>
        </w:rPr>
      </w:r>
      <w:r>
        <w:rPr>
          <w:rFonts w:eastAsia="Times New Roman"/>
        </w:rPr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480"/>
      </w:tblGrid>
      <w:tr>
        <w:tblPrEx/>
        <w:trPr>
          <w:cantSplit/>
          <w:tblHeader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  <w:r/>
          </w:p>
        </w:tc>
      </w:tr>
    </w:tbl>
    <w:p>
      <w:pPr>
        <w:pStyle w:val="831"/>
        <w:rPr>
          <w:rFonts w:eastAsia="Times New Roman"/>
        </w:rPr>
      </w:pPr>
      <w:r>
        <w:rPr>
          <w:rFonts w:eastAsia="Times New Roman"/>
        </w:rPr>
        <w:t xml:space="preserve">2. Схема процесса</w:t>
      </w:r>
      <w:r>
        <w:rPr>
          <w:rFonts w:eastAsia="Times New Roman"/>
        </w:rPr>
      </w:r>
      <w:r>
        <w:rPr>
          <w:rFonts w:eastAsia="Times New Roman"/>
        </w:rPr>
      </w:r>
    </w:p>
    <w:p>
      <w:pPr>
        <w:pStyle w:val="838"/>
      </w:pPr>
      <w:r>
        <w:t xml:space="preserve">BPMN-файл: TBP55_zaregistriro</w:t>
      </w:r>
      <w:r>
        <w:t xml:space="preserve">vat_delo_dokument_bpmn_asis.bpmn</w:t>
      </w:r>
      <w:r/>
    </w:p>
    <w:p>
      <w:pPr>
        <w:pStyle w:val="831"/>
        <w:rPr>
          <w:rFonts w:eastAsia="Times New Roman"/>
        </w:rPr>
      </w:pPr>
      <w:r>
        <w:rPr>
          <w:rFonts w:eastAsia="Times New Roman"/>
        </w:rPr>
        <w:t xml:space="preserve">3. Описание схемы бизнес-процессов</w:t>
      </w:r>
      <w:r>
        <w:rPr>
          <w:rFonts w:eastAsia="Times New Roman"/>
        </w:rPr>
      </w:r>
      <w:r>
        <w:rPr>
          <w:rFonts w:eastAsia="Times New Roman"/>
        </w:rPr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1127"/>
        <w:gridCol w:w="1449"/>
        <w:gridCol w:w="2209"/>
        <w:gridCol w:w="2250"/>
        <w:gridCol w:w="2011"/>
        <w:gridCol w:w="2123"/>
      </w:tblGrid>
      <w:tr>
        <w:tblPrEx/>
        <w:trPr>
          <w:tblHeader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  <w:rPr>
                <w:b/>
                <w:bCs/>
              </w:rPr>
            </w:pPr>
            <w:r>
              <w:rPr>
                <w:b/>
                <w:bCs/>
              </w:rPr>
              <w:t xml:space="preserve">№ действия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  <w:rPr>
                <w:b/>
                <w:bCs/>
              </w:rPr>
            </w:pPr>
            <w:r>
              <w:rPr>
                <w:b/>
                <w:bCs/>
              </w:rPr>
              <w:t xml:space="preserve">Роль (актор на конкретном шаге, в т.ч. Система)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  <w:rPr>
                <w:b/>
                <w:bCs/>
              </w:rPr>
            </w:pPr>
            <w:r>
              <w:rPr>
                <w:b/>
                <w:bCs/>
              </w:rPr>
              <w:t xml:space="preserve">Входящие материалы (объект/данные, инициирующие шаги)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  <w:rPr>
                <w:b/>
                <w:bCs/>
              </w:rPr>
            </w:pPr>
            <w:r>
              <w:rPr>
                <w:b/>
                <w:bCs/>
              </w:rPr>
              <w:t xml:space="preserve">Исходящие материалы (объект, являющийся результатом действия)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  <w:rPr>
                <w:b/>
                <w:bCs/>
              </w:rPr>
            </w:pPr>
            <w:r>
              <w:rPr>
                <w:b/>
                <w:bCs/>
              </w:rPr>
              <w:t xml:space="preserve">Наименование </w:t>
            </w:r>
            <w:r>
              <w:rPr>
                <w:b/>
                <w:bCs/>
              </w:rPr>
              <w:t xml:space="preserve">шага процесса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  <w:rPr>
                <w:b/>
                <w:bCs/>
              </w:rPr>
            </w:pPr>
            <w:r>
              <w:rPr>
                <w:b/>
                <w:bCs/>
              </w:rPr>
              <w:t xml:space="preserve">Описание процесса (актор и описание)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0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Канцелярия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Появилась необходимость зарегистрировать дело/документ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Канцелярия суда определяет необходимость регистрации дела или документа по факту его поступления в суд.</w:t>
            </w:r>
            <w:r/>
          </w:p>
        </w:tc>
      </w:tr>
      <w:tr>
        <w:tblPrEx/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8"/>
            </w:pPr>
            <w:r>
              <w:t xml:space="preserve">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8"/>
            </w:pPr>
            <w:r>
              <w:t xml:space="preserve">Сотрудник канцелярии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8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8"/>
            </w:pP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8"/>
            </w:pPr>
            <w:r>
              <w:t xml:space="preserve">Проставить регистрационный штамп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pPr>
              <w:pStyle w:val="838"/>
            </w:pPr>
            <w:r>
              <w:t xml:space="preserve">На полученном документе сотрудник канцелярии проставляет регистрационный штамп арбитражного суда (приложение N 5 к Инструкции по делопроизводству) в правом нижнем углу свободного от текста поля лицевой стороны первого листа, а при отсутствии свободного по</w:t>
            </w:r>
            <w:r>
              <w:t xml:space="preserve">л</w:t>
            </w:r>
            <w:r>
              <w:t xml:space="preserve">я - на другом свободном от текста месте лицевой стороны первого листа документа и указывают дату и время его поступления с точностью до минут. Регистрационный штамп проставляется на основном документе. Для идентификации документов, поступивших в электронно</w:t>
            </w:r>
            <w:r>
              <w:t xml:space="preserve">м</w:t>
            </w:r>
            <w:r>
              <w:t xml:space="preserve"> виде, на лицевой части распечатки каждого документа ставится отметка суда "поступило в электронном виде". Сотрудник канцелярии суда проставляет регистрационный штамп на документе (здесь штамп только проставляется, но пока еще не заполняется сотрудником ка</w:t>
            </w:r>
            <w:r>
              <w:t xml:space="preserve">нцелярии суда, он будет заполнен после регистрации). 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1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Канцелярия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Какой документ подлежит регистрации?</w:t>
            </w:r>
            <w:r/>
          </w:p>
          <w:p>
            <w:pPr>
              <w:pStyle w:val="838"/>
            </w:pPr>
            <w:r/>
            <w:r/>
          </w:p>
          <w:p>
            <w:pPr>
              <w:pStyle w:val="838"/>
            </w:pPr>
            <w:r>
              <w:t xml:space="preserve">Эксклюзивный шлюз.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Канцелярия суда определяет тип документа: ПД/дело или документ по д</w:t>
            </w:r>
            <w:r>
              <w:t xml:space="preserve">елу/иной вторичный документ. Если ПД/дело - переход к шагу 2, если документ по делу/иной вторичный документ переход к шагу 36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2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Канцелярия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ПД/дело от нижестоящей инстанции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Поступило дело от нижестоящей инстанции?</w:t>
            </w:r>
            <w:r/>
          </w:p>
          <w:p>
            <w:pPr>
              <w:pStyle w:val="838"/>
            </w:pPr>
            <w:r/>
            <w:r/>
          </w:p>
          <w:p>
            <w:pPr>
              <w:pStyle w:val="838"/>
            </w:pPr>
            <w:r>
              <w:t xml:space="preserve">Эксклюзивный шлюз.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Если дело </w:t>
            </w:r>
            <w:r>
              <w:t xml:space="preserve">поступило в суд из нижестоящей инстанции, то «Да» - переход к шагу 3,</w:t>
            </w:r>
            <w:r/>
          </w:p>
          <w:p>
            <w:pPr>
              <w:pStyle w:val="838"/>
            </w:pPr>
            <w:r>
              <w:t xml:space="preserve">Если «Нет» - переход к шагу 13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3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Канцелярия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АЖ/КЖ от нижестоящей инстанции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Ввести номер дела, по которому регистрируется АЖ/КЖ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Канцелярия суда вводит номер дела, по которому регистрируется апелляционная или кассационная жалоба, в карточку регистрируемой жалобы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4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Канцелярия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Данные для регистрации АЖ/КЖ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Заполнить поля для регистрации АЖ/КЖ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Канцелярия суда заполняет обяза</w:t>
            </w:r>
            <w:r>
              <w:t xml:space="preserve">тельные поля для регистрации апелляционной или кассационной жалобы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5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Система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Данные АЖ/КЖ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Электронная карточка дела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Сформировать карточку дела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Система автоматически формирует электронную карточку дела на основе введенных данных с сохранением таких дан</w:t>
            </w:r>
            <w:r>
              <w:t xml:space="preserve">ных.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6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Система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Электронная карточка дела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Номер дела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Присвоить номер дела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Система автоматически присваивает уникальный номер делу в соответствии с установленными правилами нумерации.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7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Канцелярия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Регистрационные данные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Регистрируется через электронную приемную?</w:t>
            </w:r>
            <w:r/>
          </w:p>
          <w:p>
            <w:pPr>
              <w:pStyle w:val="838"/>
            </w:pPr>
            <w:r/>
            <w:r/>
          </w:p>
          <w:p>
            <w:pPr>
              <w:pStyle w:val="838"/>
            </w:pPr>
            <w:r>
              <w:t xml:space="preserve">Эксклюзивный шлюз.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Канцелярия суда определяет, регистрируется ли дело через электронную приемную.</w:t>
            </w:r>
            <w:r/>
          </w:p>
          <w:p>
            <w:pPr>
              <w:pStyle w:val="838"/>
            </w:pPr>
            <w:r/>
            <w:r/>
          </w:p>
          <w:p>
            <w:pPr>
              <w:pStyle w:val="838"/>
            </w:pPr>
            <w:r>
              <w:t xml:space="preserve">Если «Да» - переход к шагу 8, если «Нет» - переход к шагу 9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8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Система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Данные из нижестоящей инстанции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Загруженная информация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Загрузить информацию из карточки дела нижестоящей инстанции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Система суда автоматически загружает необходимую информацию (в частности, информацию об обжалуемом СА) из карточки дела нижестоящей инстанции в случае, если карточка регис</w:t>
            </w:r>
            <w:r>
              <w:t xml:space="preserve">трируется через электронную приемную.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9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Канцелярия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Данные об обжалуемом СА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Внести данные об обжалуемом СА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Канцелярия суда вносит данные об обжалуемом судебном акте в систему.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10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Канцелярия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Данные для регистрации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Сходящийся</w:t>
            </w:r>
            <w:r>
              <w:t xml:space="preserve"> шлюз.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Эксклюзивный закрывающий шлюз.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11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Канцелярия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Регистрационные данные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Оформленный штамп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Заполнить штамп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Канцелярия суда заполняет штамп на документе с указанием номера дела, даты и времени поступления, ФИО сотрудника.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12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Канцелярия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Зарегистрированное дело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Завершение процесса. Дело из нижестоящей инстанции зарегистрировано.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Завершение процесса.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13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Канцелярия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ПД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ПД поступил в электронном виде?</w:t>
            </w:r>
            <w:r/>
          </w:p>
          <w:p>
            <w:pPr>
              <w:pStyle w:val="838"/>
            </w:pPr>
            <w:r/>
            <w:r/>
          </w:p>
          <w:p>
            <w:pPr>
              <w:pStyle w:val="838"/>
            </w:pPr>
            <w:r>
              <w:t xml:space="preserve">Эксклюзивный шлюз.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Канцелярия суда проверяет, поступил ли п</w:t>
            </w:r>
            <w:r>
              <w:t xml:space="preserve">ервичный документ в электронном виде.</w:t>
            </w:r>
            <w:r/>
          </w:p>
          <w:p>
            <w:pPr>
              <w:pStyle w:val="838"/>
            </w:pPr>
            <w:r/>
            <w:r/>
          </w:p>
          <w:p>
            <w:pPr>
              <w:pStyle w:val="838"/>
            </w:pPr>
            <w:r>
              <w:t xml:space="preserve">Если «Да» - переход к шагу 14,</w:t>
            </w:r>
            <w:r/>
          </w:p>
          <w:p>
            <w:pPr>
              <w:pStyle w:val="838"/>
            </w:pPr>
            <w:r>
              <w:t xml:space="preserve">Если «Нет» - переход к шагу 16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14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Канцелярия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Электронный ПД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Необходимо распечатать документы?</w:t>
            </w:r>
            <w:r/>
          </w:p>
          <w:p>
            <w:pPr>
              <w:pStyle w:val="838"/>
            </w:pPr>
            <w:r/>
            <w:r/>
          </w:p>
          <w:p>
            <w:pPr>
              <w:pStyle w:val="838"/>
            </w:pPr>
            <w:r>
              <w:t xml:space="preserve">Эксклюзивный шлюз.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Канцелярия суда определяет, необходимо ли распечатать электронные документы.</w:t>
            </w:r>
            <w:r/>
          </w:p>
          <w:p>
            <w:pPr>
              <w:pStyle w:val="838"/>
            </w:pPr>
            <w:r/>
            <w:r/>
          </w:p>
          <w:p>
            <w:pPr>
              <w:pStyle w:val="838"/>
            </w:pPr>
            <w:r>
              <w:t xml:space="preserve">Если «Да» - переход к шагу 15,</w:t>
            </w:r>
            <w:r/>
          </w:p>
          <w:p>
            <w:pPr>
              <w:pStyle w:val="838"/>
            </w:pPr>
            <w:r>
              <w:t xml:space="preserve">Если «Нет» - переход к шагу 16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15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Канцелярия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Электронные документы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Печатные документы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Перевести необходимые документы в печатную форму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К</w:t>
            </w:r>
            <w:r>
              <w:t xml:space="preserve">анцелярия суда распечатывает необходимые электронные документы для дальнейшей обработки.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16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Канцелярия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Эксклюзивный закрывающий шлюз.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—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17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Канцелярия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Эксклюзивный закрывающий шлюз.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—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18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Канцелярия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Документы для проверки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Результат проверки тождественности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r>
              <w:t xml:space="preserve">ТБП45.Проверить тождественность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Переход к типовому процессу «Проверить тождественность».</w:t>
            </w:r>
            <w:r/>
          </w:p>
          <w:p>
            <w:pPr>
              <w:pStyle w:val="838"/>
            </w:pPr>
            <w:r/>
            <w:r/>
          </w:p>
          <w:p>
            <w:pPr>
              <w:pStyle w:val="838"/>
            </w:pPr>
            <w:r>
              <w:t xml:space="preserve">Тождественными дела являются, когда в производстве суда уже имеется дело по спору между теми же лицами, о том же предмете и по тем же основаниям (п. 1 ч. 1 ст. 148 АПК РФ). В рамках процесса судья выявляет факт или отсутствие факта тождественности дел.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19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Канцелярия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Результат проверки тождественности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Установлена идентичность?</w:t>
            </w:r>
            <w:r/>
          </w:p>
          <w:p>
            <w:pPr>
              <w:pStyle w:val="838"/>
            </w:pPr>
            <w:r/>
            <w:r/>
          </w:p>
          <w:p>
            <w:pPr>
              <w:pStyle w:val="838"/>
            </w:pPr>
            <w:r>
              <w:t xml:space="preserve">Эксклюзивный шлюз.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Канцелярия суда проверяет результат проверки тождественности.</w:t>
            </w:r>
            <w:r/>
          </w:p>
          <w:p>
            <w:pPr>
              <w:pStyle w:val="838"/>
            </w:pPr>
            <w:r/>
            <w:r/>
          </w:p>
          <w:p>
            <w:pPr>
              <w:pStyle w:val="838"/>
            </w:pPr>
            <w:r>
              <w:t xml:space="preserve">Если «Да» - переход к шагу 20,</w:t>
            </w:r>
            <w:r/>
          </w:p>
          <w:p>
            <w:pPr>
              <w:pStyle w:val="838"/>
            </w:pPr>
            <w:r>
              <w:t xml:space="preserve">Если «Нет» - переход к шагу 23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20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Канцелярия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Отменить регистрацию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Канцелярия суда отменяет регистрацию документа в связи с наличием тождественного дела.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21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Канцелярия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Зарегистрировать в существующее дело в качестве дополнения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Канцелярия суда регистрирует документ и необходимую информацию в карточке существующего дела в качестве дополнения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22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Канцелярия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Переход к шагу 41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—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23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Канцелярия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Определить тип документа по классификатору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Канцелярия суда выбира</w:t>
            </w:r>
            <w:r>
              <w:t xml:space="preserve">ет необходимое справочное значение, отвечающее данному типу документа, в соответствии с классификатором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24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Канцелярия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Заполненные поля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Заполнить обязательные поля для регистрации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Канцелярия суда заполняет обязательные поля для регистрации нового дела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25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Канцелярия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Найти ЛУВД в базе САС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Канцелярия суда ищет лицо, участвующее в деле, в ИС суда для избежания занесения дублирующей информации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26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Канцелярия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ЛУВД</w:t>
            </w:r>
            <w:r>
              <w:t xml:space="preserve"> найдено?</w:t>
            </w:r>
            <w:r/>
          </w:p>
          <w:p>
            <w:pPr>
              <w:pStyle w:val="838"/>
            </w:pPr>
            <w:r/>
            <w:r/>
          </w:p>
          <w:p>
            <w:pPr>
              <w:pStyle w:val="838"/>
            </w:pPr>
            <w:r>
              <w:t xml:space="preserve">Эксклюзивный шлюз.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Если ЛУВД уже занесено в систему, то «Да» - переход к шагу 28,</w:t>
            </w:r>
            <w:r/>
          </w:p>
          <w:p>
            <w:pPr>
              <w:pStyle w:val="838"/>
            </w:pPr>
            <w:r>
              <w:t xml:space="preserve">Если «Нет» - переход к шагу 27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27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Канцелярия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Зарегистрированные данные ЛУВД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Зарегистрировать новое ЛУВД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Канцелярия суда регистрирует новое лицо, участвующее в деле, в системе.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28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Канцелярия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Эксклюзивный закрывающий шлюз.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Эксклюзивный закрывающий шлюз.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29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Канцелярия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Определить вид спора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Канцелярия суда определяет вид спора для дальнейшего занесения информации в систему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30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Канцелярия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Указать вид спора и специализацию дела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Канцелярия суда указывает вид спора и специализацию дела в системе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31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Система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Данные о деле, внесенные</w:t>
            </w:r>
            <w:r>
              <w:t xml:space="preserve"> сотрудником канцелярии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Электронная регистрационная карточка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Сформировать карточку дела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Система автоматически формирует электронную регистрационную карточку дела с сохранением всех внесенных ранее данных о деле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32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Канцелярия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Зарегистрировать дело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Канцелярия суда регистрирует дело в системе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33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Система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Зарегистрированное дело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Номер дела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Присвоить номер дела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Система автоматически присваивает номер делу в соответствии с номенклатурой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34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Канцелярия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Штамп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Заполнить </w:t>
            </w:r>
            <w:r>
              <w:t xml:space="preserve">штамп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Канцелярия суда заполняет штамп в материалах дела с указанием номера дела, даты и времени поступления, ФИО сотрудника, регистрировавшего документ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35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Канцелярия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Завершение процесса. Дело зарегистрировано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Завершение процесса. Дело зарегистрировано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36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Канцелярия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Поступивший документ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Документ поступил в электронном виде?</w:t>
            </w:r>
            <w:r/>
          </w:p>
          <w:p>
            <w:pPr>
              <w:pStyle w:val="838"/>
            </w:pPr>
            <w:r/>
            <w:r/>
          </w:p>
          <w:p>
            <w:pPr>
              <w:pStyle w:val="838"/>
            </w:pPr>
            <w:r>
              <w:t xml:space="preserve">Эксклюзивный шлюз.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Канцелярия суда проверяет, поступил ли документ по делу в электронном виде.</w:t>
            </w:r>
            <w:r/>
          </w:p>
          <w:p>
            <w:pPr>
              <w:pStyle w:val="838"/>
            </w:pPr>
            <w:r/>
            <w:r/>
          </w:p>
          <w:p>
            <w:pPr>
              <w:pStyle w:val="838"/>
            </w:pPr>
            <w:r>
              <w:t xml:space="preserve">Если «Да» - переход к шагу 37</w:t>
            </w:r>
            <w:r>
              <w:t xml:space="preserve">,</w:t>
            </w:r>
            <w:r/>
          </w:p>
          <w:p>
            <w:pPr>
              <w:pStyle w:val="838"/>
            </w:pPr>
            <w:r>
              <w:t xml:space="preserve">Если «Нет» - переход к шагу 40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37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Канцелярия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Электронный документ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Необходимо распечатать документы?</w:t>
            </w:r>
            <w:r/>
          </w:p>
          <w:p>
            <w:pPr>
              <w:pStyle w:val="838"/>
            </w:pPr>
            <w:r/>
            <w:r/>
          </w:p>
          <w:p>
            <w:pPr>
              <w:pStyle w:val="838"/>
            </w:pPr>
            <w:r>
              <w:t xml:space="preserve">Эксклюзивный шлюз.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Канцелярия суда определяет, необходимо ли распечатать электронный документ.</w:t>
            </w:r>
            <w:r/>
          </w:p>
          <w:p>
            <w:pPr>
              <w:pStyle w:val="838"/>
            </w:pPr>
            <w:r/>
            <w:r/>
          </w:p>
          <w:p>
            <w:pPr>
              <w:pStyle w:val="838"/>
            </w:pPr>
            <w:r>
              <w:t xml:space="preserve">Если «Да» - переход к шагу 38,</w:t>
            </w:r>
            <w:r/>
          </w:p>
          <w:p>
            <w:pPr>
              <w:pStyle w:val="838"/>
            </w:pPr>
            <w:r>
              <w:t xml:space="preserve">Если «Нет» - переход к шагу 39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38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Канцелярия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Электронный документ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Печатный документ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Перевести необходимые документы в печатную форму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Канцелярия суда распечатывает документы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39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Канцелярия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Сходящийся шлюз.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Эксклюзивный закрывающий шлюз.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40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Канцелярия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Эксклюзивный закрывающий шлюз.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Эксклюзивный закрывающий шлюз.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41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Канцелярия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Номер существующего дела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Ввести номер дела, по которому регистрируется документ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Канцелярия суда вводит в ИС н</w:t>
            </w:r>
            <w:r>
              <w:t xml:space="preserve">омер дела, по которому поступил и регистрируется документ, для дальнейшей привязки его с делом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42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Канцелярия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Определить тип документа по классификатору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Канцелярия суда выбирает необходимое справочное значение, отвечающее данному типу документа, в соответствии с классификатором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43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Канцелярия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Заполненные поля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Заполнить обязательные поля для регистрации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Канцелярия суда заполняет обязательные поля</w:t>
            </w:r>
            <w:r>
              <w:t xml:space="preserve"> для регистрации нового документа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44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Канцелярия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Найти ЛУВД в базе САС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Канцелярия суда ищет лицо, участвующее в деле, в ИС суда для избежания занесения дублирующей информации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45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Канцелярия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Результат поиска ЛУВД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ЛУВД найдено?</w:t>
            </w:r>
            <w:r/>
          </w:p>
          <w:p>
            <w:pPr>
              <w:pStyle w:val="838"/>
            </w:pPr>
            <w:r/>
            <w:r/>
          </w:p>
          <w:p>
            <w:pPr>
              <w:pStyle w:val="838"/>
            </w:pPr>
            <w:r>
              <w:t xml:space="preserve">Эксклюзивный шлюз.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Если ЛУВД уже занесено в систему, то «Да» - переход к шагу 47,</w:t>
            </w:r>
            <w:r/>
          </w:p>
          <w:p>
            <w:pPr>
              <w:pStyle w:val="838"/>
            </w:pPr>
            <w:r>
              <w:t xml:space="preserve">Если «Нет» - переход к шагу 46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46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Канцелярия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Зарегистрированные данные ЛУВД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Зарегистрировать новое ЛУВД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Канцелярия суда регистрирует новое лицо, участвующее в д</w:t>
            </w:r>
            <w:r>
              <w:t xml:space="preserve">еле, в системе.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47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Канцелярия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Эксклюзивный закрывающий шлюз.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Эксклюзивный закрывающий шлюз.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48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Система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Электронная карточка документа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Создать карточку документа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Система автоматически создает карточку документа со всеми внесенными ранее данными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49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Система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Карточка документа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Связанная карточка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Связать с существующим делом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Система автоматически проставляет связи между карточкой документа и карточкой существующег</w:t>
            </w:r>
            <w:r>
              <w:t xml:space="preserve">о дела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50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Канцелярия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Обособленный спор?</w:t>
            </w:r>
            <w:r/>
          </w:p>
          <w:p>
            <w:pPr>
              <w:pStyle w:val="838"/>
            </w:pPr>
            <w:r/>
            <w:r/>
          </w:p>
          <w:p>
            <w:pPr>
              <w:pStyle w:val="838"/>
            </w:pPr>
            <w:r>
              <w:t xml:space="preserve">Эксклюзивный шлюз.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Если документ относится к обособленному спору, то «Да» - переход к шагу 51,</w:t>
            </w:r>
            <w:r/>
          </w:p>
          <w:p>
            <w:pPr>
              <w:pStyle w:val="838"/>
            </w:pPr>
            <w:r>
              <w:t xml:space="preserve">Если «Нет» - переход к шагу 52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51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Система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Номер обособленного спора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Присвоить номер обособленного спора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Система автоматически присваивает номер обособленному спору в соответствии с номенклатурой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52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Канцелярия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Эксклюзивный закрывающий шлюз.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Эксклюзивный закрывающий шлюз.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53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Канцелярия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Штамп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Заполнить штамп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Канцелярия суда заполняет штамп в материалах дела с указанием номера дела, даты и времени поступления, ФИО сотрудника, регистрировавшего документ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54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Канцелярия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Завершение процесса. Документ зарегистрирован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Завершение процесс</w:t>
            </w:r>
            <w:r>
              <w:t xml:space="preserve">а. Документ зарегистрирован</w:t>
            </w:r>
            <w:r/>
          </w:p>
        </w:tc>
      </w:tr>
    </w:tbl>
    <w:p>
      <w:pPr>
        <w:pStyle w:val="831"/>
        <w:rPr>
          <w:rFonts w:eastAsia="Times New Roman"/>
        </w:rPr>
      </w:pPr>
      <w:r>
        <w:rPr>
          <w:rFonts w:eastAsia="Times New Roman"/>
        </w:rPr>
        <w:t xml:space="preserve">4. Пользователи и роли</w:t>
      </w:r>
      <w:r>
        <w:rPr>
          <w:rFonts w:eastAsia="Times New Roman"/>
        </w:rPr>
      </w:r>
      <w:r>
        <w:rPr>
          <w:rFonts w:eastAsia="Times New Roman"/>
        </w:rPr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>
        <w:tblPrEx/>
        <w:trPr>
          <w:tblHeader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  <w:rPr>
                <w:b/>
                <w:bCs/>
              </w:rPr>
            </w:pPr>
            <w:r>
              <w:rPr>
                <w:b/>
                <w:bCs/>
              </w:rPr>
              <w:t xml:space="preserve">Бизнес-роль (с указанием суда/инстанции/иного административного органа)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  <w:rPr>
                <w:b/>
                <w:bCs/>
              </w:rPr>
            </w:pPr>
            <w:r>
              <w:rPr>
                <w:b/>
                <w:bCs/>
              </w:rPr>
              <w:t xml:space="preserve">Выполняемые действия/функция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Канцелярия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8"/>
            </w:pPr>
            <w:r>
              <w:t xml:space="preserve">Регистрация дел и документов, проверка тождественности, заполнение штампов, поиск ЛУ</w:t>
            </w:r>
            <w:r>
              <w:t xml:space="preserve">ВД в базе САС, определение типов документов, заполнение обязательных полей, работа с классификаторами</w:t>
            </w:r>
            <w:r/>
          </w:p>
        </w:tc>
      </w:tr>
    </w:tbl>
    <w:p>
      <w:pPr>
        <w:pStyle w:val="831"/>
        <w:rPr>
          <w:rFonts w:eastAsia="Times New Roman"/>
        </w:rPr>
      </w:pPr>
      <w:r>
        <w:rPr>
          <w:rFonts w:eastAsia="Times New Roman"/>
        </w:rPr>
        <w:t xml:space="preserve">5. Реестр справочников</w:t>
      </w:r>
      <w:r>
        <w:rPr>
          <w:rFonts w:eastAsia="Times New Roman"/>
        </w:rPr>
      </w:r>
      <w:r>
        <w:rPr>
          <w:rFonts w:eastAsia="Times New Roman"/>
        </w:rPr>
      </w:r>
    </w:p>
    <w:p>
      <w:pPr>
        <w:pStyle w:val="838"/>
      </w:pPr>
      <w:r>
        <w:t xml:space="preserve">Справочники указаны в Приложении к Заключению об обследовании текущего состояния субъектов автоматизации (3-я очередь) - </w:t>
      </w:r>
      <w:r>
        <w:rPr>
          <w:rStyle w:val="840"/>
        </w:rPr>
        <w:t xml:space="preserve">Справочники (классификторы) ПК САД</w:t>
      </w:r>
      <w:r/>
    </w:p>
    <w:p>
      <w:pPr>
        <w:pStyle w:val="831"/>
        <w:rPr>
          <w:rFonts w:eastAsia="Times New Roman"/>
        </w:rPr>
      </w:pPr>
      <w:r>
        <w:rPr>
          <w:rFonts w:eastAsia="Times New Roman"/>
        </w:rPr>
        <w:t xml:space="preserve">6. Процессуальные документы</w:t>
      </w:r>
      <w:r>
        <w:rPr>
          <w:rFonts w:eastAsia="Times New Roman"/>
        </w:rPr>
      </w:r>
      <w:r>
        <w:rPr>
          <w:rFonts w:eastAsia="Times New Roman"/>
        </w:rPr>
      </w:r>
    </w:p>
    <w:p>
      <w:pPr>
        <w:pStyle w:val="832"/>
        <w:rPr>
          <w:rFonts w:eastAsia="Times New Roman"/>
        </w:rPr>
      </w:pPr>
      <w:r>
        <w:rPr>
          <w:rFonts w:eastAsia="Times New Roman"/>
        </w:rPr>
        <w:t xml:space="preserve">6.1. Документы рассмотрения</w:t>
      </w:r>
      <w:r>
        <w:rPr>
          <w:rFonts w:eastAsia="Times New Roman"/>
        </w:rPr>
      </w:r>
      <w:r>
        <w:rPr>
          <w:rFonts w:eastAsia="Times New Roman"/>
        </w:rPr>
      </w:r>
    </w:p>
    <w:p>
      <w:pPr>
        <w:pStyle w:val="838"/>
      </w:pPr>
      <w:r>
        <w:t xml:space="preserve">В рамках процесса происходит регистрация любого поступившего от лица документа.</w:t>
      </w:r>
      <w:r/>
    </w:p>
    <w:p>
      <w:pPr>
        <w:pStyle w:val="832"/>
        <w:rPr>
          <w:rFonts w:eastAsia="Times New Roman"/>
        </w:rPr>
      </w:pPr>
      <w:r>
        <w:rPr>
          <w:rFonts w:eastAsia="Times New Roman"/>
        </w:rPr>
        <w:t xml:space="preserve">6.2. Судебные акты</w:t>
      </w:r>
      <w:r>
        <w:rPr>
          <w:rFonts w:eastAsia="Times New Roman"/>
        </w:rPr>
      </w:r>
      <w:r>
        <w:rPr>
          <w:rFonts w:eastAsia="Times New Roman"/>
        </w:rPr>
      </w:r>
    </w:p>
    <w:p>
      <w:pPr>
        <w:pStyle w:val="838"/>
      </w:pPr>
      <w:r>
        <w:t xml:space="preserve">Не предусмотрены</w:t>
      </w:r>
      <w:r/>
    </w:p>
    <w:p>
      <w:pPr>
        <w:pStyle w:val="831"/>
        <w:rPr>
          <w:rFonts w:eastAsia="Times New Roman"/>
        </w:rPr>
      </w:pPr>
      <w:r>
        <w:rPr>
          <w:rFonts w:eastAsia="Times New Roman"/>
        </w:rPr>
        <w:t xml:space="preserve">7. Межведомственное взаимодействие</w:t>
      </w:r>
      <w:r>
        <w:rPr>
          <w:rFonts w:eastAsia="Times New Roman"/>
        </w:rPr>
      </w:r>
      <w:r>
        <w:rPr>
          <w:rFonts w:eastAsia="Times New Roman"/>
        </w:rPr>
      </w:r>
    </w:p>
    <w:p>
      <w:pPr>
        <w:pStyle w:val="838"/>
      </w:pPr>
      <w:r>
        <w:t xml:space="preserve">Не предусмотре</w:t>
      </w:r>
      <w:r>
        <w:t xml:space="preserve">но</w:t>
      </w:r>
      <w:r/>
    </w:p>
    <w:p>
      <w:pPr>
        <w:pStyle w:val="831"/>
        <w:rPr>
          <w:rFonts w:eastAsia="Times New Roman"/>
        </w:rPr>
      </w:pPr>
      <w:r>
        <w:rPr>
          <w:rFonts w:eastAsia="Times New Roman"/>
        </w:rPr>
        <w:t xml:space="preserve">8. Информация о сроках</w:t>
      </w:r>
      <w:r>
        <w:rPr>
          <w:rFonts w:eastAsia="Times New Roman"/>
        </w:rPr>
      </w:r>
      <w:r>
        <w:rPr>
          <w:rFonts w:eastAsia="Times New Roman"/>
        </w:rPr>
      </w:r>
    </w:p>
    <w:p>
      <w:pPr>
        <w:pStyle w:val="838"/>
      </w:pPr>
      <w:r>
        <w:t xml:space="preserve">Не предусмотрены</w:t>
      </w:r>
      <w:r/>
    </w:p>
    <w:sectPr>
      <w:footnotePr/>
      <w:endnotePr/>
      <w:type w:val="nextPage"/>
      <w:pgSz w:w="15840" w:h="12240" w:orient="landscape"/>
      <w:pgMar w:top="1440" w:right="1440" w:bottom="1440" w:left="1440" w:header="720" w:footer="720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54">
    <w:name w:val="Heading 1 Char"/>
    <w:basedOn w:val="833"/>
    <w:link w:val="830"/>
    <w:uiPriority w:val="9"/>
    <w:rPr>
      <w:rFonts w:ascii="Arial" w:hAnsi="Arial" w:eastAsia="Arial" w:cs="Arial"/>
      <w:sz w:val="40"/>
      <w:szCs w:val="40"/>
    </w:rPr>
  </w:style>
  <w:style w:type="character" w:styleId="655">
    <w:name w:val="Heading 2 Char"/>
    <w:basedOn w:val="833"/>
    <w:link w:val="831"/>
    <w:uiPriority w:val="9"/>
    <w:rPr>
      <w:rFonts w:ascii="Arial" w:hAnsi="Arial" w:eastAsia="Arial" w:cs="Arial"/>
      <w:sz w:val="34"/>
    </w:rPr>
  </w:style>
  <w:style w:type="character" w:styleId="656">
    <w:name w:val="Heading 3 Char"/>
    <w:basedOn w:val="833"/>
    <w:link w:val="832"/>
    <w:uiPriority w:val="9"/>
    <w:rPr>
      <w:rFonts w:ascii="Arial" w:hAnsi="Arial" w:eastAsia="Arial" w:cs="Arial"/>
      <w:sz w:val="30"/>
      <w:szCs w:val="30"/>
    </w:rPr>
  </w:style>
  <w:style w:type="paragraph" w:styleId="657">
    <w:name w:val="Heading 4"/>
    <w:basedOn w:val="829"/>
    <w:next w:val="829"/>
    <w:link w:val="658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58">
    <w:name w:val="Heading 4 Char"/>
    <w:basedOn w:val="833"/>
    <w:link w:val="657"/>
    <w:uiPriority w:val="9"/>
    <w:rPr>
      <w:rFonts w:ascii="Arial" w:hAnsi="Arial" w:eastAsia="Arial" w:cs="Arial"/>
      <w:b/>
      <w:bCs/>
      <w:sz w:val="26"/>
      <w:szCs w:val="26"/>
    </w:rPr>
  </w:style>
  <w:style w:type="paragraph" w:styleId="659">
    <w:name w:val="Heading 5"/>
    <w:basedOn w:val="829"/>
    <w:next w:val="829"/>
    <w:link w:val="660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60">
    <w:name w:val="Heading 5 Char"/>
    <w:basedOn w:val="833"/>
    <w:link w:val="659"/>
    <w:uiPriority w:val="9"/>
    <w:rPr>
      <w:rFonts w:ascii="Arial" w:hAnsi="Arial" w:eastAsia="Arial" w:cs="Arial"/>
      <w:b/>
      <w:bCs/>
      <w:sz w:val="24"/>
      <w:szCs w:val="24"/>
    </w:rPr>
  </w:style>
  <w:style w:type="paragraph" w:styleId="661">
    <w:name w:val="Heading 6"/>
    <w:basedOn w:val="829"/>
    <w:next w:val="829"/>
    <w:link w:val="662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62">
    <w:name w:val="Heading 6 Char"/>
    <w:basedOn w:val="833"/>
    <w:link w:val="661"/>
    <w:uiPriority w:val="9"/>
    <w:rPr>
      <w:rFonts w:ascii="Arial" w:hAnsi="Arial" w:eastAsia="Arial" w:cs="Arial"/>
      <w:b/>
      <w:bCs/>
      <w:sz w:val="22"/>
      <w:szCs w:val="22"/>
    </w:rPr>
  </w:style>
  <w:style w:type="paragraph" w:styleId="663">
    <w:name w:val="Heading 7"/>
    <w:basedOn w:val="829"/>
    <w:next w:val="829"/>
    <w:link w:val="664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64">
    <w:name w:val="Heading 7 Char"/>
    <w:basedOn w:val="833"/>
    <w:link w:val="663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65">
    <w:name w:val="Heading 8"/>
    <w:basedOn w:val="829"/>
    <w:next w:val="829"/>
    <w:link w:val="666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66">
    <w:name w:val="Heading 8 Char"/>
    <w:basedOn w:val="833"/>
    <w:link w:val="665"/>
    <w:uiPriority w:val="9"/>
    <w:rPr>
      <w:rFonts w:ascii="Arial" w:hAnsi="Arial" w:eastAsia="Arial" w:cs="Arial"/>
      <w:i/>
      <w:iCs/>
      <w:sz w:val="22"/>
      <w:szCs w:val="22"/>
    </w:rPr>
  </w:style>
  <w:style w:type="paragraph" w:styleId="667">
    <w:name w:val="Heading 9"/>
    <w:basedOn w:val="829"/>
    <w:next w:val="829"/>
    <w:link w:val="668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68">
    <w:name w:val="Heading 9 Char"/>
    <w:basedOn w:val="833"/>
    <w:link w:val="667"/>
    <w:uiPriority w:val="9"/>
    <w:rPr>
      <w:rFonts w:ascii="Arial" w:hAnsi="Arial" w:eastAsia="Arial" w:cs="Arial"/>
      <w:i/>
      <w:iCs/>
      <w:sz w:val="21"/>
      <w:szCs w:val="21"/>
    </w:rPr>
  </w:style>
  <w:style w:type="paragraph" w:styleId="669">
    <w:name w:val="List Paragraph"/>
    <w:basedOn w:val="829"/>
    <w:uiPriority w:val="34"/>
    <w:qFormat/>
    <w:pPr>
      <w:contextualSpacing/>
      <w:ind w:left="720"/>
    </w:pPr>
  </w:style>
  <w:style w:type="paragraph" w:styleId="670">
    <w:name w:val="No Spacing"/>
    <w:uiPriority w:val="1"/>
    <w:qFormat/>
    <w:pPr>
      <w:spacing w:before="0" w:after="0" w:line="240" w:lineRule="auto"/>
    </w:pPr>
  </w:style>
  <w:style w:type="paragraph" w:styleId="671">
    <w:name w:val="Title"/>
    <w:basedOn w:val="829"/>
    <w:next w:val="829"/>
    <w:link w:val="672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2">
    <w:name w:val="Title Char"/>
    <w:basedOn w:val="833"/>
    <w:link w:val="671"/>
    <w:uiPriority w:val="10"/>
    <w:rPr>
      <w:sz w:val="48"/>
      <w:szCs w:val="48"/>
    </w:rPr>
  </w:style>
  <w:style w:type="paragraph" w:styleId="673">
    <w:name w:val="Subtitle"/>
    <w:basedOn w:val="829"/>
    <w:next w:val="829"/>
    <w:link w:val="674"/>
    <w:uiPriority w:val="11"/>
    <w:qFormat/>
    <w:pPr>
      <w:spacing w:before="200" w:after="200"/>
    </w:pPr>
    <w:rPr>
      <w:sz w:val="24"/>
      <w:szCs w:val="24"/>
    </w:rPr>
  </w:style>
  <w:style w:type="character" w:styleId="674">
    <w:name w:val="Subtitle Char"/>
    <w:basedOn w:val="833"/>
    <w:link w:val="673"/>
    <w:uiPriority w:val="11"/>
    <w:rPr>
      <w:sz w:val="24"/>
      <w:szCs w:val="24"/>
    </w:rPr>
  </w:style>
  <w:style w:type="paragraph" w:styleId="675">
    <w:name w:val="Quote"/>
    <w:basedOn w:val="829"/>
    <w:next w:val="829"/>
    <w:link w:val="676"/>
    <w:uiPriority w:val="29"/>
    <w:qFormat/>
    <w:pPr>
      <w:ind w:left="720" w:right="720"/>
    </w:pPr>
    <w:rPr>
      <w:i/>
    </w:rPr>
  </w:style>
  <w:style w:type="character" w:styleId="676">
    <w:name w:val="Quote Char"/>
    <w:link w:val="675"/>
    <w:uiPriority w:val="29"/>
    <w:rPr>
      <w:i/>
    </w:rPr>
  </w:style>
  <w:style w:type="paragraph" w:styleId="677">
    <w:name w:val="Intense Quote"/>
    <w:basedOn w:val="829"/>
    <w:next w:val="829"/>
    <w:link w:val="678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8">
    <w:name w:val="Intense Quote Char"/>
    <w:link w:val="677"/>
    <w:uiPriority w:val="30"/>
    <w:rPr>
      <w:i/>
    </w:rPr>
  </w:style>
  <w:style w:type="paragraph" w:styleId="679">
    <w:name w:val="Header"/>
    <w:basedOn w:val="829"/>
    <w:link w:val="680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0">
    <w:name w:val="Header Char"/>
    <w:basedOn w:val="833"/>
    <w:link w:val="679"/>
    <w:uiPriority w:val="99"/>
  </w:style>
  <w:style w:type="paragraph" w:styleId="681">
    <w:name w:val="Footer"/>
    <w:basedOn w:val="829"/>
    <w:link w:val="68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2">
    <w:name w:val="Footer Char"/>
    <w:basedOn w:val="833"/>
    <w:link w:val="681"/>
    <w:uiPriority w:val="99"/>
  </w:style>
  <w:style w:type="paragraph" w:styleId="683">
    <w:name w:val="Caption"/>
    <w:basedOn w:val="829"/>
    <w:next w:val="82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4">
    <w:name w:val="Caption Char"/>
    <w:basedOn w:val="683"/>
    <w:link w:val="681"/>
    <w:uiPriority w:val="99"/>
  </w:style>
  <w:style w:type="table" w:styleId="685">
    <w:name w:val="Table Grid"/>
    <w:basedOn w:val="834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6">
    <w:name w:val="Table Grid Light"/>
    <w:basedOn w:val="83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Plain Table 1"/>
    <w:basedOn w:val="83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8">
    <w:name w:val="Plain Table 2"/>
    <w:basedOn w:val="834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0">
    <w:name w:val="Plain Table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1">
    <w:name w:val="Plain Table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2">
    <w:name w:val="Grid Table 1 Light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3">
    <w:name w:val="Grid Table 1 Light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0">
    <w:name w:val="Grid Table 2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4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4">
    <w:name w:val="Grid Table 4 - Accent 1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5">
    <w:name w:val="Grid Table 4 - Accent 2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6">
    <w:name w:val="Grid Table 4 - Accent 3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7">
    <w:name w:val="Grid Table 4 - Accent 4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8">
    <w:name w:val="Grid Table 4 - Accent 5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19">
    <w:name w:val="Grid Table 4 - Accent 6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0">
    <w:name w:val="Grid Table 5 Dark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1">
    <w:name w:val="Grid Table 5 Dark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722">
    <w:name w:val="Grid Table 5 Dark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4">
    <w:name w:val="Grid Table 5 Dark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5">
    <w:name w:val="Grid Table 5 Dark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7">
    <w:name w:val="Grid Table 6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8">
    <w:name w:val="Grid Table 6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29">
    <w:name w:val="Grid Table 6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0">
    <w:name w:val="Grid Table 6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1">
    <w:name w:val="Grid Table 6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2">
    <w:name w:val="Grid Table 6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3">
    <w:name w:val="Grid Table 6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7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>
    <w:name w:val="Grid Table 7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List Table 1 Light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49">
    <w:name w:val="List Table 2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0">
    <w:name w:val="List Table 2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1">
    <w:name w:val="List Table 2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2">
    <w:name w:val="List Table 2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3">
    <w:name w:val="List Table 2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4">
    <w:name w:val="List Table 2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5">
    <w:name w:val="List Table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6">
    <w:name w:val="List Table 3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5 Dark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0">
    <w:name w:val="List Table 5 Dark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6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7">
    <w:name w:val="List Table 6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8">
    <w:name w:val="List Table 6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79">
    <w:name w:val="List Table 6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0">
    <w:name w:val="List Table 6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1">
    <w:name w:val="List Table 6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2">
    <w:name w:val="List Table 6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3">
    <w:name w:val="List Table 7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4">
    <w:name w:val="List Table 7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785">
    <w:name w:val="List Table 7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6">
    <w:name w:val="List Table 7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7">
    <w:name w:val="List Table 7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8">
    <w:name w:val="List Table 7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789">
    <w:name w:val="List Table 7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0">
    <w:name w:val="Lined - Accent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1">
    <w:name w:val="Lined - Accent 1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792">
    <w:name w:val="Lined - Accent 2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3">
    <w:name w:val="Lined - Accent 3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4">
    <w:name w:val="Lined - Accent 4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5">
    <w:name w:val="Lined - Accent 5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796">
    <w:name w:val="Lined - Accent 6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7">
    <w:name w:val="Bordered &amp; Lined - Accent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8">
    <w:name w:val="Bordered &amp; Lined - Accent 1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799">
    <w:name w:val="Bordered &amp; Lined - Accent 2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0">
    <w:name w:val="Bordered &amp; Lined - Accent 3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1">
    <w:name w:val="Bordered &amp; Lined - Accent 4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2">
    <w:name w:val="Bordered &amp; Lined - Accent 5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03">
    <w:name w:val="Bordered &amp; Lined - Accent 6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4">
    <w:name w:val="Bordered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5">
    <w:name w:val="Bordered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6">
    <w:name w:val="Bordered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7">
    <w:name w:val="Bordered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8">
    <w:name w:val="Bordered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09">
    <w:name w:val="Bordered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0">
    <w:name w:val="Bordered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1">
    <w:name w:val="Hyperlink"/>
    <w:uiPriority w:val="99"/>
    <w:unhideWhenUsed/>
    <w:rPr>
      <w:color w:val="0000ff" w:themeColor="hyperlink"/>
      <w:u w:val="single"/>
    </w:rPr>
  </w:style>
  <w:style w:type="paragraph" w:styleId="812">
    <w:name w:val="footnote text"/>
    <w:basedOn w:val="829"/>
    <w:link w:val="813"/>
    <w:uiPriority w:val="99"/>
    <w:semiHidden/>
    <w:unhideWhenUsed/>
    <w:pPr>
      <w:spacing w:after="40" w:line="240" w:lineRule="auto"/>
    </w:pPr>
    <w:rPr>
      <w:sz w:val="18"/>
    </w:rPr>
  </w:style>
  <w:style w:type="character" w:styleId="813">
    <w:name w:val="Footnote Text Char"/>
    <w:link w:val="812"/>
    <w:uiPriority w:val="99"/>
    <w:rPr>
      <w:sz w:val="18"/>
    </w:rPr>
  </w:style>
  <w:style w:type="character" w:styleId="814">
    <w:name w:val="footnote reference"/>
    <w:basedOn w:val="833"/>
    <w:uiPriority w:val="99"/>
    <w:unhideWhenUsed/>
    <w:rPr>
      <w:vertAlign w:val="superscript"/>
    </w:rPr>
  </w:style>
  <w:style w:type="paragraph" w:styleId="815">
    <w:name w:val="endnote text"/>
    <w:basedOn w:val="829"/>
    <w:link w:val="816"/>
    <w:uiPriority w:val="99"/>
    <w:semiHidden/>
    <w:unhideWhenUsed/>
    <w:pPr>
      <w:spacing w:after="0" w:line="240" w:lineRule="auto"/>
    </w:pPr>
    <w:rPr>
      <w:sz w:val="20"/>
    </w:rPr>
  </w:style>
  <w:style w:type="character" w:styleId="816">
    <w:name w:val="Endnote Text Char"/>
    <w:link w:val="815"/>
    <w:uiPriority w:val="99"/>
    <w:rPr>
      <w:sz w:val="20"/>
    </w:rPr>
  </w:style>
  <w:style w:type="character" w:styleId="817">
    <w:name w:val="endnote reference"/>
    <w:basedOn w:val="833"/>
    <w:uiPriority w:val="99"/>
    <w:semiHidden/>
    <w:unhideWhenUsed/>
    <w:rPr>
      <w:vertAlign w:val="superscript"/>
    </w:rPr>
  </w:style>
  <w:style w:type="paragraph" w:styleId="818">
    <w:name w:val="toc 1"/>
    <w:basedOn w:val="829"/>
    <w:next w:val="829"/>
    <w:uiPriority w:val="39"/>
    <w:unhideWhenUsed/>
    <w:pPr>
      <w:ind w:left="0" w:right="0" w:firstLine="0"/>
      <w:spacing w:after="57"/>
    </w:pPr>
  </w:style>
  <w:style w:type="paragraph" w:styleId="819">
    <w:name w:val="toc 2"/>
    <w:basedOn w:val="829"/>
    <w:next w:val="829"/>
    <w:uiPriority w:val="39"/>
    <w:unhideWhenUsed/>
    <w:pPr>
      <w:ind w:left="283" w:right="0" w:firstLine="0"/>
      <w:spacing w:after="57"/>
    </w:pPr>
  </w:style>
  <w:style w:type="paragraph" w:styleId="820">
    <w:name w:val="toc 3"/>
    <w:basedOn w:val="829"/>
    <w:next w:val="829"/>
    <w:uiPriority w:val="39"/>
    <w:unhideWhenUsed/>
    <w:pPr>
      <w:ind w:left="567" w:right="0" w:firstLine="0"/>
      <w:spacing w:after="57"/>
    </w:pPr>
  </w:style>
  <w:style w:type="paragraph" w:styleId="821">
    <w:name w:val="toc 4"/>
    <w:basedOn w:val="829"/>
    <w:next w:val="829"/>
    <w:uiPriority w:val="39"/>
    <w:unhideWhenUsed/>
    <w:pPr>
      <w:ind w:left="850" w:right="0" w:firstLine="0"/>
      <w:spacing w:after="57"/>
    </w:pPr>
  </w:style>
  <w:style w:type="paragraph" w:styleId="822">
    <w:name w:val="toc 5"/>
    <w:basedOn w:val="829"/>
    <w:next w:val="829"/>
    <w:uiPriority w:val="39"/>
    <w:unhideWhenUsed/>
    <w:pPr>
      <w:ind w:left="1134" w:right="0" w:firstLine="0"/>
      <w:spacing w:after="57"/>
    </w:pPr>
  </w:style>
  <w:style w:type="paragraph" w:styleId="823">
    <w:name w:val="toc 6"/>
    <w:basedOn w:val="829"/>
    <w:next w:val="829"/>
    <w:uiPriority w:val="39"/>
    <w:unhideWhenUsed/>
    <w:pPr>
      <w:ind w:left="1417" w:right="0" w:firstLine="0"/>
      <w:spacing w:after="57"/>
    </w:pPr>
  </w:style>
  <w:style w:type="paragraph" w:styleId="824">
    <w:name w:val="toc 7"/>
    <w:basedOn w:val="829"/>
    <w:next w:val="829"/>
    <w:uiPriority w:val="39"/>
    <w:unhideWhenUsed/>
    <w:pPr>
      <w:ind w:left="1701" w:right="0" w:firstLine="0"/>
      <w:spacing w:after="57"/>
    </w:pPr>
  </w:style>
  <w:style w:type="paragraph" w:styleId="825">
    <w:name w:val="toc 8"/>
    <w:basedOn w:val="829"/>
    <w:next w:val="829"/>
    <w:uiPriority w:val="39"/>
    <w:unhideWhenUsed/>
    <w:pPr>
      <w:ind w:left="1984" w:right="0" w:firstLine="0"/>
      <w:spacing w:after="57"/>
    </w:pPr>
  </w:style>
  <w:style w:type="paragraph" w:styleId="826">
    <w:name w:val="toc 9"/>
    <w:basedOn w:val="829"/>
    <w:next w:val="829"/>
    <w:uiPriority w:val="39"/>
    <w:unhideWhenUsed/>
    <w:pPr>
      <w:ind w:left="2268" w:right="0" w:firstLine="0"/>
      <w:spacing w:after="57"/>
    </w:pPr>
  </w:style>
  <w:style w:type="paragraph" w:styleId="827">
    <w:name w:val="TOC Heading"/>
    <w:uiPriority w:val="39"/>
    <w:unhideWhenUsed/>
  </w:style>
  <w:style w:type="paragraph" w:styleId="828">
    <w:name w:val="table of figures"/>
    <w:basedOn w:val="829"/>
    <w:next w:val="829"/>
    <w:uiPriority w:val="99"/>
    <w:unhideWhenUsed/>
    <w:pPr>
      <w:spacing w:after="0" w:afterAutospacing="0"/>
    </w:pPr>
  </w:style>
  <w:style w:type="paragraph" w:styleId="829" w:default="1">
    <w:name w:val="Normal"/>
    <w:qFormat/>
    <w:rPr>
      <w:rFonts w:eastAsiaTheme="minorEastAsia"/>
      <w:sz w:val="24"/>
      <w:szCs w:val="24"/>
    </w:rPr>
  </w:style>
  <w:style w:type="paragraph" w:styleId="830">
    <w:name w:val="Heading 1"/>
    <w:basedOn w:val="829"/>
    <w:link w:val="837"/>
    <w:uiPriority w:val="9"/>
    <w:qFormat/>
    <w:pPr>
      <w:spacing w:before="100" w:beforeAutospacing="1" w:after="100" w:afterAutospacing="1"/>
      <w:outlineLvl w:val="0"/>
    </w:pPr>
    <w:rPr>
      <w:b/>
      <w:bCs/>
      <w:sz w:val="48"/>
      <w:szCs w:val="48"/>
    </w:rPr>
  </w:style>
  <w:style w:type="paragraph" w:styleId="831">
    <w:name w:val="Heading 2"/>
    <w:basedOn w:val="829"/>
    <w:link w:val="839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832">
    <w:name w:val="Heading 3"/>
    <w:basedOn w:val="829"/>
    <w:link w:val="841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styleId="833" w:default="1">
    <w:name w:val="Default Paragraph Font"/>
    <w:uiPriority w:val="1"/>
    <w:semiHidden/>
    <w:unhideWhenUsed/>
  </w:style>
  <w:style w:type="table" w:styleId="83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5" w:default="1">
    <w:name w:val="No List"/>
    <w:uiPriority w:val="99"/>
    <w:semiHidden/>
    <w:unhideWhenUsed/>
  </w:style>
  <w:style w:type="paragraph" w:styleId="836" w:customStyle="1">
    <w:name w:val="msonormal"/>
    <w:basedOn w:val="829"/>
    <w:pPr>
      <w:spacing w:before="100" w:beforeAutospacing="1" w:after="100" w:afterAutospacing="1"/>
    </w:pPr>
  </w:style>
  <w:style w:type="character" w:styleId="837" w:customStyle="1">
    <w:name w:val="Заголовок 1 Знак"/>
    <w:basedOn w:val="833"/>
    <w:link w:val="830"/>
    <w:uiPriority w:val="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838" w:customStyle="1">
    <w:name w:val="western"/>
    <w:basedOn w:val="829"/>
    <w:pPr>
      <w:spacing w:before="100" w:beforeAutospacing="1" w:after="100" w:afterAutospacing="1"/>
    </w:pPr>
  </w:style>
  <w:style w:type="character" w:styleId="839" w:customStyle="1">
    <w:name w:val="Заголовок 2 Знак"/>
    <w:basedOn w:val="833"/>
    <w:link w:val="831"/>
    <w:uiPriority w:val="9"/>
    <w:semiHidden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840">
    <w:name w:val="Emphasis"/>
    <w:basedOn w:val="833"/>
    <w:uiPriority w:val="20"/>
    <w:qFormat/>
    <w:rPr>
      <w:i/>
      <w:iCs/>
    </w:rPr>
  </w:style>
  <w:style w:type="character" w:styleId="841" w:customStyle="1">
    <w:name w:val="Заголовок 3 Знак"/>
    <w:basedOn w:val="833"/>
    <w:link w:val="832"/>
    <w:uiPriority w:val="9"/>
    <w:semiHidden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4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ТБП55: "Зарегистрировать дело/документ"</dc:title>
  <dc:subject/>
  <dc:creator>Швецов Сергей Вячеславович</dc:creator>
  <cp:keywords/>
  <dc:description/>
  <cp:lastModifiedBy>Ксения Гончар</cp:lastModifiedBy>
  <cp:revision>4</cp:revision>
  <dcterms:created xsi:type="dcterms:W3CDTF">2025-11-19T10:10:00Z</dcterms:created>
  <dcterms:modified xsi:type="dcterms:W3CDTF">2026-04-21T13:48:20Z</dcterms:modified>
</cp:coreProperties>
</file>