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ТБП61 - Рассмотреть вопрос о разъединении дел</w:t>
      </w:r>
    </w:p>
    <w:p>
      <w:pPr>
        <w:pStyle w:val="Heading2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1. Интервью</w:t>
      </w:r>
    </w:p>
    <w:p>
      <w:pPr>
        <w:pStyle w:val="Normal"/>
        <w:rPr/>
      </w:pPr>
      <w:r>
        <w:rPr>
          <w:rStyle w:val="Hyperlink"/>
          <w:color w:val="auto"/>
          <w:u w:val="none"/>
        </w:rPr>
        <w:t>Интервью не проводилось.</w:t>
      </w:r>
    </w:p>
    <w:p>
      <w:pPr>
        <w:pStyle w:val="Heading2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2. Перечень регламентирующих НПА</w:t>
      </w:r>
    </w:p>
    <w:tbl>
      <w:tblPr>
        <w:tblStyle w:val="aff0"/>
        <w:tblW w:w="8638" w:type="dxa"/>
        <w:jc w:val="left"/>
        <w:tblInd w:w="-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38"/>
      </w:tblGrid>
      <w:tr>
        <w:trPr/>
        <w:tc>
          <w:tcPr>
            <w:tcW w:w="86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0"/>
              <w:contextualSpacing/>
              <w:jc w:val="left"/>
              <w:rPr>
                <w:b/>
                <w:bCs/>
              </w:rPr>
            </w:pPr>
            <w:r>
              <w:rPr>
                <w:rFonts w:eastAsia="ＭＳ 明朝" w:cs=""/>
                <w:b/>
                <w:bCs/>
                <w:kern w:val="0"/>
                <w:szCs w:val="22"/>
                <w:lang w:eastAsia="en-US" w:bidi="ar-SA"/>
              </w:rPr>
              <w:t>Название НПА с реквизитами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"Арбитражный процессуальный кодекс Российской Федерации" от 24.07.2002 N 95-ФЗ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>
        <w:trPr/>
        <w:tc>
          <w:tcPr>
            <w:tcW w:w="8638" w:type="dxa"/>
            <w:tcBorders/>
          </w:tcPr>
          <w:p>
            <w:pPr>
              <w:pStyle w:val="ListBullet"/>
              <w:widowControl/>
              <w:numPr>
                <w:ilvl w:val="0"/>
                <w:numId w:val="0"/>
              </w:numPr>
              <w:spacing w:lineRule="auto" w:line="240" w:before="0" w:after="0"/>
              <w:ind w:hanging="0" w:left="0"/>
              <w:contextualSpacing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>
      <w:pPr>
        <w:pStyle w:val="Heading2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3. Акторы</w:t>
      </w:r>
    </w:p>
    <w:tbl>
      <w:tblPr>
        <w:tblStyle w:val="aff0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5"/>
        <w:gridCol w:w="6134"/>
      </w:tblGrid>
      <w:tr>
        <w:trPr/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Бизнес-роль*</w:t>
            </w:r>
          </w:p>
        </w:tc>
        <w:tc>
          <w:tcPr>
            <w:tcW w:w="6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Выполняемые действия/функция</w:t>
            </w:r>
          </w:p>
        </w:tc>
      </w:tr>
      <w:tr>
        <w:trPr/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6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Принятие решений о разъединении дел, проведение судебных заседаний, анализ оснований для разъединения, вынесение судебных актов</w:t>
            </w:r>
          </w:p>
        </w:tc>
      </w:tr>
      <w:tr>
        <w:trPr/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6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Подготовка к судебным заседаниям, внесение информации в карточки дел, изготовление копий документов, подготовка дел к передаче, формирование сопроводительных документов, запись данных на диск</w:t>
            </w:r>
          </w:p>
        </w:tc>
      </w:tr>
      <w:tr>
        <w:trPr/>
        <w:tc>
          <w:tcPr>
            <w:tcW w:w="2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Канцелярия</w:t>
            </w:r>
          </w:p>
        </w:tc>
        <w:tc>
          <w:tcPr>
            <w:tcW w:w="61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Направление документов участникам процесса, регистрация новых дел</w:t>
            </w:r>
          </w:p>
        </w:tc>
      </w:tr>
    </w:tbl>
    <w:p>
      <w:pPr>
        <w:pStyle w:val="Normal"/>
        <w:rPr/>
      </w:pPr>
      <w:r>
        <w:rPr/>
        <w:t>* С указанием суда/инстанции/иного административного органа</w:t>
      </w:r>
    </w:p>
    <w:p>
      <w:pPr>
        <w:pStyle w:val="Heading2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4. Процессуальные документы и их шаблоны (образцы)</w:t>
      </w:r>
    </w:p>
    <w:p>
      <w:pPr>
        <w:pStyle w:val="Heading3"/>
        <w:rPr/>
      </w:pPr>
      <w:r>
        <w:rPr>
          <w:rFonts w:ascii="Times New Roman" w:hAnsi="Times New Roman"/>
        </w:rPr>
        <w:t>4.1 Документы рассмотрения (документы входящие от участников процесса)</w:t>
      </w:r>
    </w:p>
    <w:tbl>
      <w:tblPr>
        <w:tblStyle w:val="aff0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64"/>
        <w:gridCol w:w="1565"/>
        <w:gridCol w:w="1824"/>
        <w:gridCol w:w="1565"/>
        <w:gridCol w:w="2512"/>
      </w:tblGrid>
      <w:tr>
        <w:trPr/>
        <w:tc>
          <w:tcPr>
            <w:tcW w:w="1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№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Вид документа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Наименование документа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Форма документа</w:t>
            </w:r>
          </w:p>
        </w:tc>
        <w:tc>
          <w:tcPr>
            <w:tcW w:w="2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Образец</w:t>
            </w:r>
          </w:p>
        </w:tc>
      </w:tr>
      <w:tr>
        <w:trPr/>
        <w:tc>
          <w:tcPr>
            <w:tcW w:w="116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—</w:t>
            </w:r>
          </w:p>
        </w:tc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—</w:t>
            </w:r>
          </w:p>
        </w:tc>
        <w:tc>
          <w:tcPr>
            <w:tcW w:w="1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—</w:t>
            </w:r>
          </w:p>
        </w:tc>
        <w:tc>
          <w:tcPr>
            <w:tcW w:w="2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  <w:t>* Бумажный документ / электронный документ / электронный документ с ЭЦП / печатная форма (из ИС).</w:t>
      </w:r>
    </w:p>
    <w:p>
      <w:pPr>
        <w:pStyle w:val="Normal"/>
        <w:rPr/>
      </w:pPr>
      <w:r>
        <w:rPr/>
        <w:t>** Файл или ссылка на облако ДИТ.</w:t>
      </w:r>
    </w:p>
    <w:p>
      <w:pPr>
        <w:pStyle w:val="Heading3"/>
        <w:rPr/>
      </w:pPr>
      <w:r>
        <w:rPr>
          <w:rFonts w:ascii="Times New Roman" w:hAnsi="Times New Roman"/>
        </w:rPr>
        <w:t>4.2 Судебные акты</w:t>
      </w:r>
    </w:p>
    <w:tbl>
      <w:tblPr>
        <w:tblStyle w:val="aff0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7"/>
        <w:gridCol w:w="1506"/>
        <w:gridCol w:w="1799"/>
        <w:gridCol w:w="1839"/>
        <w:gridCol w:w="1476"/>
        <w:gridCol w:w="1562"/>
      </w:tblGrid>
      <w:tr>
        <w:trPr/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№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Вид документа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Наименование документа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Форма (протокольный / отдельный СА)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Обжалуется (да / нет)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Образец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Определение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Определение об отказе в удовлетворении ходатайства о выделении требований в отдельное производство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Отдельный СА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Да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Шаблон документа отсутствует, так как не был предоставлен в ходе обследования</w:t>
            </w:r>
          </w:p>
        </w:tc>
      </w:tr>
      <w:tr>
        <w:trPr/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</w:t>
            </w:r>
          </w:p>
        </w:tc>
        <w:tc>
          <w:tcPr>
            <w:tcW w:w="15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Определение</w:t>
            </w:r>
          </w:p>
        </w:tc>
        <w:tc>
          <w:tcPr>
            <w:tcW w:w="17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Определение о выделении требований в отдельное производство</w:t>
            </w:r>
          </w:p>
        </w:tc>
        <w:tc>
          <w:tcPr>
            <w:tcW w:w="18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Отдельный СА</w:t>
            </w:r>
          </w:p>
        </w:tc>
        <w:tc>
          <w:tcPr>
            <w:tcW w:w="14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Нет</w:t>
            </w:r>
          </w:p>
        </w:tc>
        <w:tc>
          <w:tcPr>
            <w:tcW w:w="15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Шаблон документа отсутствует, так как не был предоставлен в ходе обследования</w:t>
            </w:r>
          </w:p>
        </w:tc>
      </w:tr>
    </w:tbl>
    <w:p>
      <w:pPr>
        <w:pStyle w:val="Heading2"/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5. Процессуальные сроки</w:t>
      </w:r>
    </w:p>
    <w:p>
      <w:pPr>
        <w:pStyle w:val="Normal"/>
        <w:rPr/>
      </w:pPr>
      <w:r>
        <w:rPr/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Style w:val="aff0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728"/>
        <w:gridCol w:w="2114"/>
        <w:gridCol w:w="2604"/>
        <w:gridCol w:w="2183"/>
      </w:tblGrid>
      <w:tr>
        <w:trPr>
          <w:trHeight w:val="947" w:hRule="atLeast"/>
        </w:trPr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Шаг процесса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26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Срок (год, месяц, день)</w:t>
            </w:r>
          </w:p>
        </w:tc>
        <w:tc>
          <w:tcPr>
            <w:tcW w:w="2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Применимые нормы (по возможности)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14,</w:t>
            </w:r>
          </w:p>
        </w:tc>
        <w:tc>
          <w:tcPr>
            <w:tcW w:w="21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Обжалование СА</w:t>
            </w:r>
          </w:p>
        </w:tc>
        <w:tc>
          <w:tcPr>
            <w:tcW w:w="26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10 дней со дня вынесения определения об отказе</w:t>
            </w:r>
          </w:p>
        </w:tc>
        <w:tc>
          <w:tcPr>
            <w:tcW w:w="2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АПК РФ, ч.7 ст.130</w:t>
            </w:r>
          </w:p>
        </w:tc>
      </w:tr>
    </w:tbl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6. Реестр справочников</w:t>
      </w:r>
    </w:p>
    <w:tbl>
      <w:tblPr>
        <w:tblW w:w="1601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690"/>
        <w:gridCol w:w="2348"/>
        <w:gridCol w:w="3298"/>
        <w:gridCol w:w="1569"/>
        <w:gridCol w:w="8105"/>
      </w:tblGrid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№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Наименование справочника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Назначение справочника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Структура справочника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>
                <w:rStyle w:val="Strong"/>
              </w:rPr>
              <w:t>Значения справочника</w:t>
            </w:r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1.7.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Документы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Учет процессуальных документов и судебных актов (определения о разъединении / отказе)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hyperlink r:id="rId2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1.10.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Категории лиц, участвующих в деле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Проверка состава сторон по делу/ОС (шаг 17), фиксация различия сторон.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3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/>
              <w:t>1.14.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Нормативно-правовые акты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Правовое обоснование действий суда (ст. 130 АПК РФ и разъяснения Пленума ВС РФ)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4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/>
              <w:t>1.15.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Основания процессуального действия (решения)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Фиксация основания рассмотрения вопроса (ходатайство стороны / инициатива суда)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5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1.11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1.16. Основания решения суда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Формирование мотивировочной части определения о разъединении либо об отказе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6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1.23.</w:t>
            </w:r>
            <w:r>
              <w:rPr>
                <w:rStyle w:val="Strong"/>
                <w:rFonts w:eastAsia="Times New Roman"/>
                <w:b w:val="false"/>
                <w:bCs w:val="false"/>
              </w:rPr>
              <w:t>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Процессуальные действия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Выбор и фиксация действий: «рассмотреть вопрос», «выделить требования», «отказать»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7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1.24.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Процессуальные состояния документов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Изменение статусов судебных актов и материалов дела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8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1.25.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Процессуальные стадии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Определение стадии процесса, на которой допускается разъединение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9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1.7.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1.26. Результаты рассмотрений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Фиксация результата рассмотрения вопроса (разъединено / отказано)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10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1.28.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Типы документов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Определение вида документа: определение суда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11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1.30.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Типы решений (постановлений) суда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Выбор типа судебного акта (определение, обжалуемое / необжалуемое)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12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 xml:space="preserve">1.31. 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Участники информационного взаимодействия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Определение адресатов при направлении определения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13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 xml:space="preserve">1.32. 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Характеристики спора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Учет характеристик спора при статистике после разъединения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14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2.4.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Залы судебных заседаний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Используется при назначении и проведении СЗ (шаги 11–13)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hyperlink r:id="rId15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2.9.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Подразделения суда и сотрудники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Идентификация судьи, помощника, канцелярии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hyperlink r:id="rId16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2.13.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Роли пользователей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Разграничение полномочий судьи, помощника, канцелярии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hyperlink r:id="rId17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>
        <w:trPr>
          <w:cantSplit w:val="true"/>
        </w:trPr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2.18.</w:t>
            </w:r>
          </w:p>
        </w:tc>
        <w:tc>
          <w:tcPr>
            <w:tcW w:w="2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Учет нерабочих дней</w:t>
            </w:r>
          </w:p>
        </w:tc>
        <w:tc>
          <w:tcPr>
            <w:tcW w:w="3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/>
              <w:t>Расчет процессуальных сроков (обжалование определения, планирование СЗ)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before="0" w:after="200"/>
              <w:rPr>
                <w:rStyle w:val="Strong"/>
                <w:rFonts w:eastAsia="Times New Roman"/>
                <w:b w:val="false"/>
                <w:bCs w:val="false"/>
              </w:rPr>
            </w:pPr>
            <w:r>
              <w:rPr>
                <w:rStyle w:val="Strong"/>
                <w:rFonts w:eastAsia="Times New Roman"/>
                <w:b w:val="false"/>
                <w:bCs w:val="false"/>
              </w:rPr>
              <w:t>Структура справочника см. внутри документа</w:t>
            </w:r>
          </w:p>
        </w:tc>
        <w:tc>
          <w:tcPr>
            <w:tcW w:w="8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hyperlink r:id="rId18" w:tgtFrame="_blank">
              <w:r>
                <w:rPr>
                  <w:rStyle w:val="Hyperlink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</w:tbl>
    <w:p>
      <w:pPr>
        <w:pStyle w:val="Normal"/>
        <w:rPr/>
      </w:pPr>
      <w:r>
        <w:rPr/>
      </w:r>
    </w:p>
    <w:p>
      <w:pPr>
        <w:pStyle w:val="ListBullet"/>
        <w:numPr>
          <w:ilvl w:val="0"/>
          <w:numId w:val="0"/>
        </w:numPr>
        <w:ind w:hanging="360" w:lef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360"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7. Межведомственное взаимодействие</w:t>
      </w:r>
    </w:p>
    <w:p>
      <w:pPr>
        <w:pStyle w:val="ListBullet"/>
        <w:numPr>
          <w:ilvl w:val="0"/>
          <w:numId w:val="0"/>
        </w:numPr>
        <w:ind w:hanging="360" w:left="360"/>
        <w:rPr/>
      </w:pPr>
      <w:r>
        <w:rPr/>
        <w:t>В описываемом процессе отсутствует межведомственное взаимодействие суда.</w:t>
      </w:r>
    </w:p>
    <w:tbl>
      <w:tblPr>
        <w:tblW w:w="26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2397"/>
        <w:gridCol w:w="3527"/>
        <w:gridCol w:w="1992"/>
        <w:gridCol w:w="3527"/>
      </w:tblGrid>
      <w:tr>
        <w:trPr/>
        <w:tc>
          <w:tcPr>
            <w:tcW w:w="2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3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3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>
        <w:trPr>
          <w:cantSplit w:val="true"/>
        </w:trPr>
        <w:tc>
          <w:tcPr>
            <w:tcW w:w="23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__</w:t>
            </w:r>
          </w:p>
        </w:tc>
        <w:tc>
          <w:tcPr>
            <w:tcW w:w="3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__</w:t>
            </w:r>
          </w:p>
        </w:tc>
        <w:tc>
          <w:tcPr>
            <w:tcW w:w="1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eastAsia="Times New Roman"/>
              </w:rPr>
            </w:pPr>
            <w:r>
              <w:rPr/>
              <w:t>__</w:t>
            </w:r>
          </w:p>
        </w:tc>
        <w:tc>
          <w:tcPr>
            <w:tcW w:w="35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__</w:t>
            </w:r>
          </w:p>
        </w:tc>
      </w:tr>
    </w:tbl>
    <w:p>
      <w:pPr>
        <w:pStyle w:val="Heading2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8. AS IS</w:t>
      </w:r>
    </w:p>
    <w:p>
      <w:pPr>
        <w:pStyle w:val="Heading2"/>
        <w:rPr>
          <w:sz w:val="36"/>
          <w:szCs w:val="36"/>
        </w:rPr>
      </w:pPr>
      <w:r>
        <w:rPr>
          <w:rFonts w:ascii="Times New Roman" w:hAnsi="Times New Roman"/>
        </w:rPr>
        <w:t>8.1 Схема процесса</w:t>
      </w:r>
    </w:p>
    <w:p>
      <w:pPr>
        <w:pStyle w:val="Normal"/>
        <w:rPr/>
      </w:pPr>
      <w:r>
        <w:rPr/>
        <w:t>[Место для схемы процесса]</w:t>
      </w:r>
    </w:p>
    <w:p>
      <w:pPr>
        <w:pStyle w:val="Heading3"/>
        <w:rPr>
          <w:rFonts w:ascii="Times New Roman" w:hAnsi="Times New Roman"/>
        </w:rPr>
      </w:pPr>
      <w:r>
        <w:rPr>
          <w:rFonts w:ascii="Times New Roman" w:hAnsi="Times New Roman"/>
        </w:rPr>
        <w:t>8.2 Описание схемы</w:t>
      </w:r>
    </w:p>
    <w:p>
      <w:pPr>
        <w:pStyle w:val="Normal"/>
        <w:rPr/>
      </w:pPr>
      <w:r>
        <w:rPr>
          <w:rFonts w:eastAsia="Times New Roman"/>
          <w:szCs w:val="24"/>
        </w:rPr>
        <w:t xml:space="preserve">Термины и сокращения: </w:t>
      </w:r>
      <w:hyperlink r:id="rId19">
        <w:r>
          <w:rPr>
            <w:rStyle w:val="Hyperlink"/>
            <w:rFonts w:eastAsia="Times New Roman"/>
            <w:szCs w:val="24"/>
          </w:rPr>
          <w:t>https://itpm-wiki.mos.ru/pages/viewpage.action?pageId=533161398</w:t>
        </w:r>
      </w:hyperlink>
    </w:p>
    <w:tbl>
      <w:tblPr>
        <w:tblStyle w:val="aff0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3"/>
        <w:gridCol w:w="1139"/>
        <w:gridCol w:w="1168"/>
        <w:gridCol w:w="1466"/>
        <w:gridCol w:w="1947"/>
        <w:gridCol w:w="1946"/>
      </w:tblGrid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 xml:space="preserve">№ </w:t>
            </w: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действия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Роль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Входящие материалы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Исходящие материалы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Наименование шага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eastAsia="en-US" w:bidi="ar-SA"/>
              </w:rPr>
              <w:t>Описание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0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Возникла необходимость рассмотреть вопрос о разъединении дел/ОС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 принимает решение о необходимости рассмотрения вопроса о разъединении дел в отдельное производство.</w:t>
              <w:br/>
              <w:br/>
              <w:t>Раъединение дел регулируется ст. 130 АПК РФ. Арбитражный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 рамках старта процесса судья осуществляет следующие проверки: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1) Судья проверяет вынесение итогового СА по делу/ОС. Основание: выделение требований в отдельное производство допускаются до принятия судебного акта, которым заканчивается рассмотрение дела в арбитражном суде первой инстанции (ч. 4 ст. 130 АПК РФ). Т.е. если итоговый СА по делу уже принят - дела не могут быть разъединены.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2) Если дело является делом о несостоятельности (банкротстве), судья проверяет саму возможность разъединения дел в этом случае.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Определить необходимость проведения СЗ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 определяет необходимость проведения СЗ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Необходимо провести СЗ?</w:t>
              <w:br/>
              <w:br/>
              <w:t>Эксклюзивный шлюз.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 вопросу разъединения требований судья может прийти к выводу о необходимости проведения судебного заседания.</w:t>
              <w:br/>
              <w:t>Судья определяет необходимость проведения судебного заседания.</w:t>
              <w:br/>
              <w:br/>
              <w:t xml:space="preserve">Если «Да» -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3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</w:t>
              <w:br/>
              <w:t xml:space="preserve">Если «Нет» -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6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3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ТБП44.Назначить СЗ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0">
              <w:r>
                <w:rPr>
                  <w:rStyle w:val="Hyperlink"/>
                  <w:rFonts w:eastAsia="ＭＳ 明朝" w:cs=""/>
                  <w:kern w:val="0"/>
                  <w:szCs w:val="22"/>
                  <w:lang w:eastAsia="en-US" w:bidi="ar-SA"/>
                </w:rPr>
                <w:t>ТБП44.Назначить СЗ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определяется дата, время и место проведения СЗ с последующим направлением данных лицам, участвующим в деле.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4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ТБП66.Подготовиться к СЗ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1">
              <w:r>
                <w:rPr>
                  <w:rStyle w:val="Hyperlink"/>
                  <w:rFonts w:eastAsia="ＭＳ 明朝" w:cs=""/>
                  <w:kern w:val="0"/>
                  <w:szCs w:val="22"/>
                  <w:lang w:eastAsia="en-US" w:bidi="ar-SA"/>
                </w:rPr>
                <w:t>ТБП66.Подготовиться к СЗ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происходят подготовительные действия, необходимые для полноценного проведения СЗ.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5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ТБП68.Провести СЗ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2">
              <w:r>
                <w:rPr>
                  <w:rStyle w:val="Hyperlink"/>
                  <w:rFonts w:eastAsia="ＭＳ 明朝" w:cs=""/>
                  <w:kern w:val="0"/>
                  <w:szCs w:val="22"/>
                  <w:lang w:eastAsia="en-US" w:bidi="ar-SA"/>
                </w:rPr>
                <w:t>ТБП68.Провести СЗ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осуществляются все процессуальные действия, предусмотренные законодательством в процессе проведения судебного заседания.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6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Эксклюзивный шлюз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Эксклюзивный закрывающий шлюз, объединяющий потоки из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-го,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5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-го шага</w:t>
            </w:r>
          </w:p>
        </w:tc>
      </w:tr>
      <w:tr>
        <w:trPr/>
        <w:tc>
          <w:tcPr>
            <w:tcW w:w="96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7</w:t>
            </w:r>
          </w:p>
        </w:tc>
        <w:tc>
          <w:tcPr>
            <w:tcW w:w="11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ТБП19.Проверить подсудность</w:t>
            </w:r>
          </w:p>
        </w:tc>
        <w:tc>
          <w:tcPr>
            <w:tcW w:w="194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3">
              <w:r>
                <w:rPr>
                  <w:rFonts w:eastAsia="ＭＳ 明朝" w:cs=""/>
                  <w:color w:val="0000FF"/>
                  <w:kern w:val="0"/>
                  <w:szCs w:val="22"/>
                  <w:u w:val="single"/>
                  <w:lang w:eastAsia="en-US" w:bidi="ar-SA"/>
                </w:rPr>
                <w:t>ТБП19.Проверить подсудность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.</w:t>
              <w:br/>
              <w:t>В рамках данного процесса судья осуществляет проверку соблюдения правил подсудности (на соответствие требованиям ст. 34 АПК РФ).</w:t>
              <w:br/>
              <w:t>Результатом данного ТП является решение о соблюдении или несоблюдении правил подсудности при подаче документа лицом.</w:t>
              <w:br/>
              <w:t>В случае, если какие-то требования не относятся к компетенции арбитражного суда (подсудность не соблюдена в отношении части требований), это может послужить основанием для разъединения требований и передаче их части в другой суд.</w:t>
            </w:r>
          </w:p>
        </w:tc>
      </w:tr>
      <w:tr>
        <w:trPr>
          <w:trHeight w:val="246" w:hRule="atLeast"/>
        </w:trPr>
        <w:tc>
          <w:tcPr>
            <w:tcW w:w="96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8</w:t>
            </w:r>
          </w:p>
        </w:tc>
        <w:tc>
          <w:tcPr>
            <w:tcW w:w="1139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Проверить наличие оснований для разъединения дел/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ОС</w:t>
            </w:r>
          </w:p>
        </w:tc>
        <w:tc>
          <w:tcPr>
            <w:tcW w:w="194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 осуществляет следующие проверки оснований для разъединения дел: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1) Судья оценивает степень связи требований между собой. Требования должны быть мало связаны или вообще не связаны.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2) Судья проверяет, ускорит ли процесс отдельное рассмотрение требований.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3) Судья проверяет стороны по делу. Они должны быть различными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4) Судья проверяет основание иска в делах/ОС. Основания должны быть различными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5) Судья оценивает</w:t>
            </w:r>
            <w:r>
              <w:rPr/>
              <w:t xml:space="preserve">, может ли совместное рассмотрение требований затруднить принятие законного и обоснованного решения по делу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и делает вывод о целесообразности разделения требований на этой основе.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9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Принять решение по вопросу разъединения дел/ОС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 принимает решение по вопросу разъединения дел на основе проведенного анализа.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10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Установлена необходимость разъединения дел/ОС?</w:t>
              <w:br/>
              <w:br/>
              <w:t>Эксклюзивный шлюз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Определяется установлена ли необходимость разъединения дел/ОС?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Если «Да» -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17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</w:t>
              <w:br/>
              <w:t xml:space="preserve">Если «Нет» -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11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11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Проверить наличие ходатайства стороны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 проверяет наличие ходатайства стороны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12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 чьей инициативе рассматривался вопрос о разъединении дел?</w:t>
              <w:br/>
              <w:br/>
              <w:t>Эксклюзивный шлюз.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 проверяет, по чьей инициативе рассматривался вопрос. Необходимо для определения необходимости принятия СА по вопросу.</w:t>
              <w:br/>
              <w:br/>
              <w:t xml:space="preserve">По ходатайству стороны: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14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;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По инициативе суда: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13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13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 пришел к выводу об отсутствии оснований для разъединения дел/ОС. Разъединение дел/ОС не происходит.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 пришел к выводу об отсутствии оснований для разъединения дел/ОС. Разъединение дел/ОС не происходит.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14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Определение об отказе в удовлетворении ходатайства о разъединении дел/ОС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hyperlink r:id="rId24">
              <w:r>
                <w:rPr>
                  <w:rFonts w:eastAsia="ＭＳ 明朝" w:cs=""/>
                  <w:color w:themeColor="text1" w:val="000000"/>
                  <w:kern w:val="0"/>
                  <w:szCs w:val="22"/>
                  <w:lang w:eastAsia="en-US" w:bidi="ar-SA"/>
                </w:rPr>
                <w:t>ТБП80.Принять СА</w:t>
              </w:r>
            </w:hyperlink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5">
              <w:r>
                <w:rPr>
                  <w:rFonts w:eastAsia="ＭＳ 明朝" w:cs=""/>
                  <w:color w:val="0000FF"/>
                  <w:kern w:val="0"/>
                  <w:szCs w:val="22"/>
                  <w:u w:val="single"/>
                  <w:lang w:eastAsia="en-US" w:bidi="ar-SA"/>
                </w:rPr>
                <w:t>ТБП80.Принять СА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.</w:t>
              <w:br/>
              <w:t>Судья принимает судебный акт об отказе в удовлетворении ходатайства о выделении требований в отдельное производство. В определении должны быть указаны основания принятия такого решения.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15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Канцелярия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ТБП46.Направить документ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 </w:t>
            </w:r>
            <w:hyperlink r:id="rId26">
              <w:r>
                <w:rPr>
                  <w:rFonts w:eastAsia="ＭＳ 明朝" w:cs=""/>
                  <w:color w:val="0000FF"/>
                  <w:kern w:val="0"/>
                  <w:szCs w:val="22"/>
                  <w:u w:val="single"/>
                  <w:lang w:eastAsia="en-US" w:bidi="ar-SA"/>
                </w:rPr>
                <w:t>ТБП46.Направить документ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канцелярия направляет определение участникам процесса.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16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Канцелярия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Завершающее событие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Стороне отказано в удовлетворении ходатайства о разъединении дел/ОС. Определение направлено. Разъединение дел/ОС не происходит.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17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Судья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Определение о выделении требований в отдельное производство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ТБП80.Принять СА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7">
              <w:r>
                <w:rPr>
                  <w:rStyle w:val="Hyperlink"/>
                  <w:rFonts w:eastAsia="ＭＳ 明朝" w:cs=""/>
                  <w:kern w:val="0"/>
                  <w:szCs w:val="22"/>
                  <w:lang w:eastAsia="en-US" w:bidi="ar-SA"/>
                </w:rPr>
                <w:t>ТБП80.Принять СА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. Судья выносит определение о выделении требований в отдельное производство.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18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Канцелярия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ТБП46.Направить документ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8">
              <w:r>
                <w:rPr>
                  <w:rStyle w:val="Hyperlink"/>
                  <w:rFonts w:eastAsia="ＭＳ 明朝" w:cs=""/>
                  <w:kern w:val="0"/>
                  <w:szCs w:val="22"/>
                  <w:lang w:eastAsia="en-US" w:bidi="ar-SA"/>
                </w:rPr>
                <w:t>ТБП46.Направить документ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канцелярия направляет определение участникам процесса.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19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Копии материалов выделяемого дела/ОС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ТБП50.Изготовить копии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29">
              <w:r>
                <w:rPr>
                  <w:rFonts w:eastAsia="ＭＳ 明朝" w:cs=""/>
                  <w:color w:val="0000FF"/>
                  <w:kern w:val="0"/>
                  <w:szCs w:val="22"/>
                  <w:u w:val="single"/>
                  <w:lang w:eastAsia="en-US" w:bidi="ar-SA"/>
                </w:rPr>
                <w:t>ТБП50.Изготовить копии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помощник судьи изготавливает копии материалов дела для выделенного производства.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20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Выделяемые документы в электронном виде?</w:t>
              <w:br/>
              <w:br/>
              <w:t>Эксклюзивный шлюз.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 проверяет, находятся ли выделяемые документы в электронном виде.</w:t>
              <w:br/>
              <w:br/>
              <w:t xml:space="preserve">Если «Да» -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21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</w:t>
              <w:br/>
              <w:t xml:space="preserve">Если «Нет» - переход к шагу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22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21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Записать на диск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 записывает электронные документы на диск для приобщения в физическом виде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22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Эксклюзивный шлюз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Эксклюзивный закрывающий шлюз, объединяющий потоки из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20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-го,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21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-го шага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23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Выделенное дело/ОС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ТБП88.Подготовить дело к передаче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30">
              <w:r>
                <w:rPr>
                  <w:rFonts w:eastAsia="ＭＳ 明朝" w:cs=""/>
                  <w:color w:val="0000FF"/>
                  <w:kern w:val="0"/>
                  <w:szCs w:val="22"/>
                  <w:u w:val="single"/>
                  <w:lang w:eastAsia="en-US" w:bidi="ar-SA"/>
                </w:rPr>
                <w:t>ТБП88.Подготовить дело к передаче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, в рамках которого помощник подготавливает новое дело (по выделенным требованиям) к передаче в новое производство (другому судье или в другой суд).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24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Выделенное дело/ОС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Реестр передачи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color w:themeColor="text1" w:val="000000"/>
                <w:kern w:val="0"/>
                <w:szCs w:val="22"/>
                <w:lang w:eastAsia="en-US" w:bidi="ar-SA"/>
              </w:rPr>
              <w:t>ТБП106.Передать документ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Происходит вызов </w:t>
            </w:r>
            <w:hyperlink r:id="rId31">
              <w:r>
                <w:rPr>
                  <w:rFonts w:eastAsia="ＭＳ 明朝" w:cs=""/>
                  <w:color w:val="0000FF"/>
                  <w:kern w:val="0"/>
                  <w:szCs w:val="22"/>
                  <w:u w:val="single"/>
                  <w:lang w:eastAsia="en-US" w:bidi="ar-SA"/>
                </w:rPr>
                <w:t>ТБП106.Передать документ</w:t>
              </w:r>
            </w:hyperlink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, в рамках которого помощник судьи передает документы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по делу/ОС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с оформлением реестра передачи. Передача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выделенного дела/ОС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 xml:space="preserve"> происходит </w:t>
            </w: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в канцелярию для дальнейшей регистрации.</w:t>
            </w:r>
          </w:p>
        </w:tc>
      </w:tr>
      <w:tr>
        <w:trPr/>
        <w:tc>
          <w:tcPr>
            <w:tcW w:w="9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25</w:t>
            </w:r>
          </w:p>
        </w:tc>
        <w:tc>
          <w:tcPr>
            <w:tcW w:w="11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Помощник судьи</w:t>
            </w:r>
          </w:p>
        </w:tc>
        <w:tc>
          <w:tcPr>
            <w:tcW w:w="11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__</w:t>
            </w:r>
          </w:p>
        </w:tc>
        <w:tc>
          <w:tcPr>
            <w:tcW w:w="19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Завершающее событие</w:t>
            </w:r>
          </w:p>
        </w:tc>
        <w:tc>
          <w:tcPr>
            <w:tcW w:w="1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eastAsia="en-US" w:bidi="ar-SA"/>
              </w:rPr>
              <w:t>Дело/ОС разъединены, часть требований выделены в новое дело/ОС. Основное дело продолжает рассматриваться. Новое дело будет проходить процесс регистрации и распределения как вновь поступившее.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/>
      <w:color w:val="000000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4b54e6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57033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Times New Roman" w:hAnsi="Times New Roman" w:eastAsia="ＭＳ 明朝" w:cs=""/>
      <w:color w:val="000000"/>
      <w:kern w:val="0"/>
      <w:sz w:val="24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spacing w:val="5"/>
      <w:kern w:val="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Times New Roman" w:hAnsi="Times New Roman" w:eastAsia="ＭＳ 明朝" w:cs=""/>
      <w:color w:val="000000"/>
      <w:kern w:val="0"/>
      <w:sz w:val="24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qFormat/>
    <w:rsid w:val="00001d36"/>
    <w:pPr>
      <w:spacing w:lineRule="auto" w:line="240" w:beforeAutospacing="1" w:afterAutospacing="1"/>
    </w:pPr>
    <w:rPr>
      <w:rFonts w:cs="Times New Roman"/>
      <w:color w:val="auto"/>
      <w:szCs w:val="24"/>
      <w:lang w:eastAsia="ru-RU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hyperlink" Target="https://cloud.dit.mos.ru/apps/ditdocuments/s/wYj6atoLqNyErfJ?fileId=289256339" TargetMode="External"/><Relationship Id="rId4" Type="http://schemas.openxmlformats.org/officeDocument/2006/relationships/hyperlink" Target="https://cloud.dit.mos.ru/apps/ditdocuments/s/wYj6atoLqNyErfJ?fileId=289256339" TargetMode="External"/><Relationship Id="rId5" Type="http://schemas.openxmlformats.org/officeDocument/2006/relationships/hyperlink" Target="https://cloud.dit.mos.ru/apps/ditdocuments/s/wYj6atoLqNyErfJ?fileId=289256339" TargetMode="External"/><Relationship Id="rId6" Type="http://schemas.openxmlformats.org/officeDocument/2006/relationships/hyperlink" Target="https://cloud.dit.mos.ru/apps/ditdocuments/s/wYj6atoLqNyErfJ?fileId=289256339" TargetMode="External"/><Relationship Id="rId7" Type="http://schemas.openxmlformats.org/officeDocument/2006/relationships/hyperlink" Target="https://cloud.dit.mos.ru/apps/ditdocuments/s/wYj6atoLqNyErfJ?fileId=289256339" TargetMode="External"/><Relationship Id="rId8" Type="http://schemas.openxmlformats.org/officeDocument/2006/relationships/hyperlink" Target="https://cloud.dit.mos.ru/apps/ditdocuments/s/wYj6atoLqNyErfJ?fileId=289256339" TargetMode="External"/><Relationship Id="rId9" Type="http://schemas.openxmlformats.org/officeDocument/2006/relationships/hyperlink" Target="https://cloud.dit.mos.ru/apps/ditdocuments/s/wYj6atoLqNyErfJ?fileId=289256339" TargetMode="External"/><Relationship Id="rId10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3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15" Type="http://schemas.openxmlformats.org/officeDocument/2006/relationships/hyperlink" Target="https://cloud.dit.mos.ru/apps/ditdocuments/s/wYj6atoLqNyErfJ?fileId=289256339" TargetMode="External"/><Relationship Id="rId16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itpm-wiki.mos.ru/pages/viewpage.action?pageId=533161398" TargetMode="External"/><Relationship Id="rId20" Type="http://schemas.openxmlformats.org/officeDocument/2006/relationships/hyperlink" Target="https://itpm-wiki.mos.ru/pages/viewpage.action?pageId=487496894" TargetMode="External"/><Relationship Id="rId21" Type="http://schemas.openxmlformats.org/officeDocument/2006/relationships/hyperlink" Target="https://itpm-wiki.mos.ru/pages/viewpage.action?pageId=487496822" TargetMode="External"/><Relationship Id="rId22" Type="http://schemas.openxmlformats.org/officeDocument/2006/relationships/hyperlink" Target="https://itpm-wiki.mos.ru/pages/viewpage.action?pageId=487497467" TargetMode="External"/><Relationship Id="rId23" Type="http://schemas.openxmlformats.org/officeDocument/2006/relationships/hyperlink" Target="https://itpm-wiki.mos.ru/pages/viewpage.action?pageId=487496856" TargetMode="External"/><Relationship Id="rId24" Type="http://schemas.openxmlformats.org/officeDocument/2006/relationships/hyperlink" Target="https://itpm-wiki.mos.ru/pages/viewpage.action?pageId=487497481" TargetMode="External"/><Relationship Id="rId25" Type="http://schemas.openxmlformats.org/officeDocument/2006/relationships/hyperlink" Target="https://itpm-wiki.mos.ru/pages/viewpage.action?pageId=487497481" TargetMode="External"/><Relationship Id="rId26" Type="http://schemas.openxmlformats.org/officeDocument/2006/relationships/hyperlink" Target="https://itpm-wiki.mos.ru/pages/viewpage.action?pageId=487496896" TargetMode="External"/><Relationship Id="rId27" Type="http://schemas.openxmlformats.org/officeDocument/2006/relationships/hyperlink" Target="https://itpm-wiki.mos.ru/pages/viewpage.action?pageId=487497481" TargetMode="External"/><Relationship Id="rId28" Type="http://schemas.openxmlformats.org/officeDocument/2006/relationships/hyperlink" Target="https://itpm-wiki.mos.ru/pages/viewpage.action?pageId=487496896" TargetMode="External"/><Relationship Id="rId29" Type="http://schemas.openxmlformats.org/officeDocument/2006/relationships/hyperlink" Target="https://itpm-wiki.mos.ru/pages/viewpage.action?pageId=487496905" TargetMode="External"/><Relationship Id="rId30" Type="http://schemas.openxmlformats.org/officeDocument/2006/relationships/hyperlink" Target="https://itpm-wiki.mos.ru/pages/viewpage.action?pageId=487497491" TargetMode="External"/><Relationship Id="rId31" Type="http://schemas.openxmlformats.org/officeDocument/2006/relationships/hyperlink" Target="https://itpm-wiki.mos.ru/pages/viewpage.action?pageId=487497728" TargetMode="Externa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Application>LibreOffice/7.6.4.1$Windows_X86_64 LibreOffice_project/e19e193f88cd6c0525a17fb7a176ed8e6a3e2aa1</Application>
  <AppVersion>15.0000</AppVersion>
  <Pages>1</Pages>
  <Words>1609</Words>
  <Characters>12076</Characters>
  <CharactersWithSpaces>13360</CharactersWithSpaces>
  <Paragraphs>340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2026-01-19T13:59:00Z</dcterms:created>
  <dc:creator>python-docx</dc:creator>
  <dc:description/>
  <dc:language>ru-RU</dc:language>
  <cp:lastModifiedBy/>
  <dcterms:modified xsi:type="dcterms:W3CDTF">2026-01-29T11:43:40Z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