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93"/>
        <w:jc w:val="left"/>
        <w:spacing w:before="240" w:after="120"/>
      </w:pPr>
      <w:r>
        <w:t xml:space="preserve">Описание ТБП106: "Передать документ" TO BE</w:t>
      </w:r>
      <w:r/>
    </w:p>
    <w:p>
      <w:pPr>
        <w:pStyle w:val="828"/>
      </w:pPr>
      <w:r/>
      <w:r/>
    </w:p>
    <w:tbl>
      <w:tblPr>
        <w:tblW w:w="14744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3121"/>
        <w:gridCol w:w="11622"/>
      </w:tblGrid>
      <w:tr>
        <w:tblPrEx/>
        <w:trPr>
          <w:trHeight w:val="610"/>
        </w:trPr>
        <w:tc>
          <w:tcPr>
            <w:tcW w:w="3121" w:type="dxa"/>
            <w:textDirection w:val="lrTb"/>
            <w:noWrap w:val="false"/>
          </w:tcPr>
          <w:p>
            <w:pPr>
              <w:pStyle w:val="857"/>
              <w:ind w:left="152" w:right="0" w:firstLine="0"/>
              <w:spacing w:before="118" w:after="0" w:line="27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 xml:space="preserve">Наименование</w:t>
            </w:r>
            <w:r>
              <w:rPr>
                <w:rFonts w:eastAsia="Times New Roman" w:cs="Times New Roman"/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622" w:type="dxa"/>
            <w:textDirection w:val="lrTb"/>
            <w:noWrap w:val="false"/>
          </w:tcPr>
          <w:p>
            <w:pPr>
              <w:pStyle w:val="857"/>
              <w:ind w:left="0" w:right="0" w:firstLine="0"/>
              <w:spacing w:before="88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pacing w:val="-4"/>
                <w:sz w:val="24"/>
                <w:szCs w:val="24"/>
              </w:rPr>
              <w:t xml:space="preserve">ТБП106.Передать документ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09"/>
        </w:trPr>
        <w:tc>
          <w:tcPr>
            <w:tcW w:w="3121" w:type="dxa"/>
            <w:textDirection w:val="lrTb"/>
            <w:noWrap w:val="false"/>
          </w:tcPr>
          <w:p>
            <w:pPr>
              <w:pStyle w:val="857"/>
              <w:ind w:left="152" w:right="0" w:firstLine="0"/>
              <w:spacing w:before="118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 xml:space="preserve">Суть</w:t>
            </w:r>
            <w:r>
              <w:rPr>
                <w:rFonts w:eastAsia="Times New Roman" w:cs="Times New Roman"/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622" w:type="dxa"/>
            <w:textDirection w:val="lrTb"/>
            <w:noWrap w:val="false"/>
          </w:tcPr>
          <w:p>
            <w:pPr>
              <w:pStyle w:val="792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Процеcc описывает процедуру передачи документа внутри суда. Процесс инициирует либо запрос сотрудника суда на предоставление документа, либо инициатива сотрудника суда предоставить документ внутри суда в тех или иных целях. В рамках процес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са формируется реестр передачи с внесением всех необходимых в рамках процедуры данных, за чем следует непосредственно сама передача и принятие документа по этому реестру. Процесс завершается после подтверждения сотрудника суда успешного принятия документа.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tcW w:w="3121" w:type="dxa"/>
            <w:textDirection w:val="lrTb"/>
            <w:noWrap w:val="false"/>
          </w:tcPr>
          <w:p>
            <w:pPr>
              <w:pStyle w:val="857"/>
              <w:ind w:left="152" w:right="0" w:firstLine="0"/>
              <w:spacing w:before="121" w:after="0" w:line="27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  <w:bookmarkStart w:id="0" w:name="undefined"/>
            <w:r/>
            <w:bookmarkEnd w:id="0"/>
            <w:r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 xml:space="preserve">Участники</w:t>
            </w:r>
            <w:r>
              <w:rPr>
                <w:rFonts w:eastAsia="Times New Roman" w:cs="Times New Roman"/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622" w:type="dxa"/>
            <w:textDirection w:val="lrTb"/>
            <w:noWrap w:val="false"/>
          </w:tcPr>
          <w:p>
            <w:pPr>
              <w:pStyle w:val="792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Лицо, передающее документ, Лицо/отдел, принимающее документ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1130"/>
        </w:trPr>
        <w:tc>
          <w:tcPr>
            <w:tcW w:w="3121" w:type="dxa"/>
            <w:textDirection w:val="lrTb"/>
            <w:noWrap w:val="false"/>
          </w:tcPr>
          <w:p>
            <w:pPr>
              <w:pStyle w:val="857"/>
              <w:ind w:left="152" w:right="0" w:firstLine="0"/>
              <w:spacing w:before="121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pacing w:val="-5"/>
                <w:sz w:val="24"/>
                <w:szCs w:val="24"/>
              </w:rPr>
              <w:t xml:space="preserve">НПА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622" w:type="dxa"/>
            <w:textDirection w:val="lrTb"/>
            <w:noWrap w:val="false"/>
          </w:tcPr>
          <w:p>
            <w:pPr>
              <w:pStyle w:val="857"/>
              <w:ind w:left="0" w:righ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794"/>
        <w:ind w:left="0" w:right="0" w:firstLine="0"/>
        <w:spacing w:before="450" w:after="0" w:line="85" w:lineRule="atLeast"/>
        <w:shd w:val="clear" w:color="ffffff" w:fill="ffffff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36"/>
          <w:szCs w:val="36"/>
        </w:rPr>
        <w:t xml:space="preserve">1. Реестр US 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828"/>
      </w:pPr>
      <w:r/>
      <w:r/>
    </w:p>
    <w:tbl>
      <w:tblPr>
        <w:tblW w:w="13075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57"/>
        <w:gridCol w:w="2050"/>
        <w:gridCol w:w="5782"/>
        <w:gridCol w:w="4785"/>
      </w:tblGrid>
      <w:tr>
        <w:tblPrEx/>
        <w:trPr/>
        <w:tc>
          <w:tcPr>
            <w:tcW w:w="457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before="0" w:after="160" w:line="61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50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before="0" w:after="160" w:line="61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Я КАК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782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before="0" w:after="160" w:line="61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ХОЧУ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85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before="0" w:after="160" w:line="61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ЧТОБЫ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57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before="0" w:after="160" w:line="61" w:lineRule="atLeast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</w:r>
          </w:p>
        </w:tc>
        <w:tc>
          <w:tcPr>
            <w:tcW w:w="2050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line="276" w:lineRule="atLeast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</w:rPr>
              <w:t xml:space="preserve">Лицо, передающее документ</w:t>
            </w:r>
            <w:r/>
          </w:p>
        </w:tc>
        <w:tc>
          <w:tcPr>
            <w:tcW w:w="5782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line="276" w:lineRule="atLeast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</w:rPr>
              <w:t xml:space="preserve">выбрать документ, указать получателя и причину передачи в системе</w:t>
            </w:r>
            <w:r/>
          </w:p>
        </w:tc>
        <w:tc>
          <w:tcPr>
            <w:tcW w:w="4785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line="276" w:lineRule="atLeast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</w:rPr>
              <w:t xml:space="preserve">инициировать процедуру внутренней передачи непроцессуального документа</w:t>
            </w:r>
            <w:r/>
          </w:p>
        </w:tc>
      </w:tr>
      <w:tr>
        <w:tblPrEx/>
        <w:trPr/>
        <w:tc>
          <w:tcPr>
            <w:tcW w:w="457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before="0" w:after="160" w:line="61" w:lineRule="atLeast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02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</w:r>
          </w:p>
        </w:tc>
        <w:tc>
          <w:tcPr>
            <w:tcW w:w="2050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line="276" w:lineRule="atLeast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</w:rPr>
              <w:t xml:space="preserve">Лицо, передающее документ</w:t>
            </w:r>
            <w:r/>
          </w:p>
        </w:tc>
        <w:tc>
          <w:tcPr>
            <w:tcW w:w="5782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line="276" w:lineRule="atLeast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</w:rPr>
              <w:t xml:space="preserve">получить уведомление и ознакомиться с причиной отказа в приеме документа</w:t>
            </w:r>
            <w:r/>
          </w:p>
        </w:tc>
        <w:tc>
          <w:tcPr>
            <w:tcW w:w="4785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line="276" w:lineRule="atLeast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</w:rPr>
              <w:t xml:space="preserve">исправить ошибки или основания передачи и повторить отправку</w:t>
            </w:r>
            <w:r/>
          </w:p>
        </w:tc>
      </w:tr>
      <w:tr>
        <w:tblPrEx/>
        <w:trPr/>
        <w:tc>
          <w:tcPr>
            <w:tcW w:w="457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before="0" w:after="160" w:line="61" w:lineRule="atLeast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03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</w:r>
          </w:p>
        </w:tc>
        <w:tc>
          <w:tcPr>
            <w:tcW w:w="2050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line="276" w:lineRule="atLeast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</w:rPr>
              <w:t xml:space="preserve">Лицо/отдел, принимающее документ</w:t>
            </w:r>
            <w:r/>
          </w:p>
        </w:tc>
        <w:tc>
          <w:tcPr>
            <w:tcW w:w="5782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line="276" w:lineRule="atLeast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</w:rPr>
              <w:t xml:space="preserve">получить документ, ссылку на запись в реестре и проверить основания передачи</w:t>
            </w:r>
            <w:r/>
          </w:p>
        </w:tc>
        <w:tc>
          <w:tcPr>
            <w:tcW w:w="4785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line="276" w:lineRule="atLeast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</w:rPr>
              <w:t xml:space="preserve">принять решение о возможности приема документа</w:t>
            </w:r>
            <w:r/>
          </w:p>
        </w:tc>
      </w:tr>
      <w:tr>
        <w:tblPrEx/>
        <w:trPr/>
        <w:tc>
          <w:tcPr>
            <w:tcW w:w="457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before="0" w:after="160" w:line="61" w:lineRule="atLeast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</w:r>
          </w:p>
        </w:tc>
        <w:tc>
          <w:tcPr>
            <w:tcW w:w="2050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line="276" w:lineRule="atLeast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</w:rPr>
              <w:t xml:space="preserve">Лицо/отдел, принимающее документ</w:t>
            </w:r>
            <w:r/>
          </w:p>
        </w:tc>
        <w:tc>
          <w:tcPr>
            <w:tcW w:w="5782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line="276" w:lineRule="atLeast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</w:rPr>
              <w:t xml:space="preserve">принять решение о приеме или отказе в приеме документа</w:t>
            </w:r>
            <w:r/>
          </w:p>
        </w:tc>
        <w:tc>
          <w:tcPr>
            <w:tcW w:w="4785" w:type="dxa"/>
            <w:textDirection w:val="lrTb"/>
            <w:noWrap w:val="false"/>
          </w:tcPr>
          <w:p>
            <w:pPr>
              <w:pStyle w:val="792"/>
              <w:ind w:left="0" w:right="0" w:firstLine="0"/>
              <w:spacing w:line="276" w:lineRule="atLeast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</w:rPr>
              <w:t xml:space="preserve">завершить процедуру передачи и закрепить документ за ответственным лицом</w:t>
            </w:r>
            <w:r/>
          </w:p>
        </w:tc>
      </w:tr>
    </w:tbl>
    <w:p>
      <w:pPr>
        <w:pStyle w:val="794"/>
        <w:jc w:val="left"/>
      </w:pPr>
      <w:r/>
      <w:r/>
    </w:p>
    <w:p>
      <w:pPr>
        <w:pStyle w:val="794"/>
        <w:jc w:val="left"/>
      </w:pPr>
      <w:r>
        <w:t xml:space="preserve">2.1 Схема процесса</w:t>
      </w:r>
      <w:r/>
    </w:p>
    <w:p>
      <w:pPr>
        <w:pStyle w:val="828"/>
        <w:jc w:val="left"/>
      </w:pPr>
      <w:r>
        <w:rPr>
          <w:i/>
          <w:iCs/>
        </w:rPr>
        <w:t xml:space="preserve">BPMN-файл: TBP106_peredat_dokument_bpmn_</w:t>
      </w:r>
      <w:r>
        <w:rPr>
          <w:i/>
          <w:iCs/>
          <w:lang w:val="en-US"/>
        </w:rPr>
        <w:t xml:space="preserve">tobe</w:t>
      </w:r>
      <w:r>
        <w:rPr>
          <w:i/>
          <w:iCs/>
        </w:rPr>
        <w:t xml:space="preserve">.bpmn</w:t>
      </w:r>
      <w:r/>
    </w:p>
    <w:p>
      <w:pPr>
        <w:pStyle w:val="794"/>
        <w:jc w:val="left"/>
      </w:pPr>
      <w:r>
        <w:t xml:space="preserve">2.2 Описание схемы бизнес-процессов</w:t>
      </w:r>
      <w:r/>
    </w:p>
    <w:tbl>
      <w:tblPr>
        <w:tblW w:w="22964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260"/>
        <w:gridCol w:w="2995"/>
        <w:gridCol w:w="12331"/>
        <w:gridCol w:w="6376"/>
      </w:tblGrid>
      <w:tr>
        <w:tblPrEx/>
        <w:trPr>
          <w:trHeight w:val="60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№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Наименование элемента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Описание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Выявленные нормативные ограничения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78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Поступил запрос на передачу документа внутри суда/по собственной инициативе сотрудник суда переходит к передаче документа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Простое начальное событие</w:t>
              <w:br/>
              <w:t xml:space="preserve">Назначение: Запуск процесса. 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78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Выбрать документ для передачи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Назначение: Выбор документа вручную пользователем позволяет системе идентифицировать конкретный документ для последующей обработки и маршрутизации.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Роль: Лицо, передающее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Описание: Пользователь выбирает карточку документа, зарегистрированного в системе и подлежащего передаче.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8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Указать, кому и в каких целях передается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: Выбор адресата пользователем позволит системе точно маршрутизировать документ и определить конкретную точку доставки, учитывая пожелание пользователя; цель необходимо зафиксировать для дальнейшего отображения в реестре и сверки данных адресатом.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Роль: Лицо, передающее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Описание: Пол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ьзователь заполняет электронную форму передачи документа в части адресата (путем выбора сотрудника из списка) и в части целей направления (ответ на поступивший от сотрудника запрос на представление документа, собственная инициатива, иная цель).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8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Сформировать запись в  реестре передачи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Назна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чение: Отображение данных о передаче документа (реквизиты документа, адресат, цель передачи, дата и время передачи, статус передачи) в едином реестре передачи для сохранения историчности действий пользователей в контексте передачи документации внутри суда.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Исходящие данные: Запись в реестре передачи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Описание: Система обрабатывает данные, внесенные пользователем, и формирует отдельную запись в реестре передачи с указанием всех данных, в т.ч. дату и время, статус передачи.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textDirection w:val="lrTb"/>
            <w:noWrap w:val="false"/>
          </w:tcPr>
          <w:p>
            <w:pPr>
              <w:pStyle w:val="857"/>
              <w:ind w:left="0" w:righ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8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Направить документ и ссылку на запись в реестре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Назначение: Маршрутизация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Входящие данные: Запись в реестре передачи, направляемый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Описание: Система направляет тело документа и ссылку на запись в реестре лицу, указанному в графе адресата, для ознакомления.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textDirection w:val="lrTb"/>
            <w:noWrap w:val="false"/>
          </w:tcPr>
          <w:p>
            <w:pPr>
              <w:pStyle w:val="857"/>
              <w:ind w:left="0" w:righ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8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Оценить корректность полученных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Назначение: Оценка данных со стороны пользователя-адресата позволяет обеспечить достижение цели процесса – успешное полу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чение сотрудником необходимого (запрашиваемого) документа; оценка позволит избежать возможных ошибок при передаче, как технического, так и человеческого характера, а также зафиксировать актуальные данные в реестре во избежание неточных исторических данных.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Роль: Лицо/отдел, принимающее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Входящие данные: Запись в реестре передачи, направляемый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Описание: Получатель документа проверяет корректность следующих данных: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832"/>
              <w:numPr>
                <w:ilvl w:val="0"/>
                <w:numId w:val="1"/>
              </w:numPr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Данные в графе «Адресат»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832"/>
              <w:numPr>
                <w:ilvl w:val="0"/>
                <w:numId w:val="1"/>
              </w:numPr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Данные в графе «Цель передачи»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832"/>
              <w:numPr>
                <w:ilvl w:val="0"/>
                <w:numId w:val="1"/>
              </w:numPr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Реквизиты документа (нужный ли документ поступил).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 основе анализа лицо делает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вывод о том, можно ли принять поступивший документ или нет. Если все корректно и документ можно принять, пользователь переходит к подтверждению принятия документа (шаг 10), если выявлены несоответствия – пользователь переходит к отказу в принятии (шаг 7).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8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Данные корректны?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Назначение: Маршрутизация процесса.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8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Отказать в приеме документа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Назначение: Отказ в приеме документа на основании выполненной проверки позволит избежать ситуаций, когда документ был передан не тому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лицу, либо был передан не тот документ и иных ситуаций, влекущих за собой нежелательные для пользователей последствия. Отказ в приеме с внесением причины отказа также обеспечивает своевременное реагирование системы и сотрудника, ответственного за отправку.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Роль: Лицо/отдел, принимающее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Входящие данные: Запись в реестре передачи, направляемый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Описание: Пол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ьзователь отказывает в приеме документа путем нажатия соответствующей кнопки. В соответствующей графе пользователь также указывает причину отказа, например, поступил не тот документ, который был запрошен, либо цель направления не соответствует фактической.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8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Уведомить лицо, направлявшее документ, об отказе в приеме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Назначение: Передача информации об отказе в приеме для дальнейшего реагирования со стороны пользователя.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Входящие данные: Данные об отказе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Исходящие данные: Уведомление об отказе в приеме документа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Описание: Система направляет уведомление об отказе в приеме с записью о причине отказа лицу, инициировавшему передачу.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textDirection w:val="lrTb"/>
            <w:noWrap w:val="false"/>
          </w:tcPr>
          <w:p>
            <w:pPr>
              <w:pStyle w:val="857"/>
              <w:ind w:left="0" w:right="0" w:firstLine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Постановление Пленума ВАС РФ от 25.12.2013 N 100 (ред. от 11.07.2014) Об утверждении Инструкции по делопроизводству в арбитражных судах Российской Федерации (первой, апелляционной и кассационной инстанций)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8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Документ не передан. При необходимости передачи процесс начнется с первого шага.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Назначение: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Завершение процесса передачи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8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Одобрить прием документа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Назначение: Подтверждение корректности данных для последующего отображения в реестре.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Роль: Лицо/отдел, принимающее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Входящие данные: Запись в реестре передачи, направляемый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Описание: Пользователь подтверждает принятие документа на своей стороне путем нажатия соответствующей кнопки в Системе.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8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vMerge w:val="restart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vMerge w:val="restart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Подписать реестр УКЭП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vMerge w:val="restart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Пользовательская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  <w:t xml:space="preserve">Назначение: Отображение в реестре доказательства получения сотрудником документа в формате подписи.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  <w:t xml:space="preserve">Роль: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Лицо/отдел, принимающее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Входящие данные: Запись в реестре передачи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Исходящие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Лицо, принимающее документ, подписывает электронный реестр УКЭП.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vMerge w:val="restart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8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Закрепить ответственного за документом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Назначение: Указание ответственного за документ лица позволяет отследить, на чьей стороне документ находится, какой сотрудник в данный момент работает над документом и имеет к нему полный доступ.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Входящие данные: Отсутствуют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Исходящие данные: Данные об ответственном лице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Описание: Система фиксирует ФИО ответственного сотрудника (сотрудника, принявшего документ) в соответствующем поле (графе, строке) в карточке переданного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780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60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95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Документ передан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31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Назначение: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Завершение процесса передачи документа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76" w:type="dxa"/>
            <w:textDirection w:val="lrTb"/>
            <w:noWrap w:val="false"/>
          </w:tcPr>
          <w:p>
            <w:pPr>
              <w:pStyle w:val="792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pStyle w:val="828"/>
      </w:pPr>
      <w:r/>
      <w:r/>
    </w:p>
    <w:p>
      <w:pPr>
        <w:pStyle w:val="792"/>
        <w:ind w:right="342"/>
        <w:spacing w:line="278" w:lineRule="auto"/>
        <w:tabs>
          <w:tab w:val="left" w:pos="660" w:leader="none"/>
          <w:tab w:val="clear" w:pos="709" w:leader="none"/>
        </w:tabs>
        <w:rPr>
          <w:rStyle w:val="805"/>
          <w:rFonts w:ascii="Times New Roman" w:hAnsi="Times New Roman" w:eastAsia="Times New Roman" w:cs="Times New Roman"/>
          <w:sz w:val="36"/>
          <w:szCs w:val="36"/>
        </w:rPr>
      </w:pPr>
      <w:r>
        <w:rPr>
          <w:rStyle w:val="805"/>
          <w:rFonts w:ascii="Times New Roman" w:hAnsi="Times New Roman" w:eastAsia="Times New Roman" w:cs="Times New Roman"/>
          <w:sz w:val="36"/>
          <w:szCs w:val="36"/>
        </w:rPr>
        <w:t xml:space="preserve">2.3. Реестр UC</w:t>
      </w:r>
      <w:r>
        <w:rPr>
          <w:rStyle w:val="805"/>
          <w:rFonts w:ascii="Times New Roman" w:hAnsi="Times New Roman" w:eastAsia="Times New Roman" w:cs="Times New Roman"/>
          <w:sz w:val="36"/>
          <w:szCs w:val="36"/>
        </w:rPr>
      </w:r>
      <w:r>
        <w:rPr>
          <w:rStyle w:val="805"/>
          <w:rFonts w:ascii="Times New Roman" w:hAnsi="Times New Roman" w:eastAsia="Times New Roman" w:cs="Times New Roman"/>
          <w:sz w:val="36"/>
          <w:szCs w:val="36"/>
        </w:rPr>
      </w:r>
    </w:p>
    <w:p>
      <w:pPr>
        <w:pStyle w:val="792"/>
        <w:ind w:right="342"/>
        <w:spacing w:line="278" w:lineRule="auto"/>
        <w:tabs>
          <w:tab w:val="left" w:pos="660" w:leader="none"/>
          <w:tab w:val="clear" w:pos="709" w:leader="none"/>
        </w:tabs>
        <w:rPr>
          <w:rStyle w:val="805"/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UC-001</w:t>
      </w:r>
      <w:r>
        <w:rPr>
          <w:rStyle w:val="805"/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</w:t>
      </w:r>
      <w:r>
        <w:rPr>
          <w:rStyle w:val="805"/>
          <w:rFonts w:ascii="Times New Roman" w:hAnsi="Times New Roman" w:eastAsia="Times New Roman" w:cs="Times New Roman"/>
          <w:sz w:val="36"/>
          <w:szCs w:val="36"/>
        </w:rPr>
        <w:t xml:space="preserve"> </w:t>
      </w:r>
      <w:r>
        <w:rPr>
          <w:rStyle w:val="805"/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Передача документа по электронному реестру передачи</w:t>
      </w:r>
      <w:r>
        <w:rPr>
          <w:rStyle w:val="805"/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Style w:val="805"/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tbl>
      <w:tblPr>
        <w:tblStyle w:val="66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405"/>
        <w:gridCol w:w="7370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40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№ шага процесса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370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1-13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40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Выполняемая задача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370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Направление документа сотруднику суда с формированием новой записи в реестре передачи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40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Цель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370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Получение адресатом корректного документа с актуализацией данных в реестре передачи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40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Роль / Актор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370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Лицо, передающее документ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1371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40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Ожидаемый результат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370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Документ получен адресатом, сформирована новая запись в реестре передачи со следующими данными: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pStyle w:val="832"/>
              <w:numPr>
                <w:ilvl w:val="0"/>
                <w:numId w:val="5"/>
              </w:numPr>
              <w:ind w:right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Дата и время передачи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32"/>
              <w:numPr>
                <w:ilvl w:val="0"/>
                <w:numId w:val="5"/>
              </w:numPr>
              <w:ind w:right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ФИО лица, передающего документ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32"/>
              <w:numPr>
                <w:ilvl w:val="0"/>
                <w:numId w:val="5"/>
              </w:numPr>
              <w:ind w:right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Реквизиты документа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32"/>
              <w:numPr>
                <w:ilvl w:val="0"/>
                <w:numId w:val="5"/>
              </w:numPr>
              <w:ind w:right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Цель передачи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32"/>
              <w:numPr>
                <w:ilvl w:val="0"/>
                <w:numId w:val="5"/>
              </w:numPr>
              <w:ind w:right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ФИО лица-адресата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32"/>
              <w:numPr>
                <w:ilvl w:val="0"/>
                <w:numId w:val="5"/>
              </w:numPr>
              <w:ind w:right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Статус передачи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852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40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Рекомендованная функциональность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370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Автоматическое формирование записи в электронном реестре передачи,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создание гиперссы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лки на карточку документа, привязка записи реестра к карточке документа, направление уведомления сотруднику, доступ для просмотра переданных документов, функционал направления артефактов зарегистрированным сотрудникам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40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Критичность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370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Высокая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40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Триггер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370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Лицо, передающее документ, нажал кнопку «Направить документ сотруднику суда» в выбранной карточке документа.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84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40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Предварительные условия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370" w:type="dxa"/>
            <w:vAlign w:val="top"/>
            <w:textDirection w:val="lrTb"/>
            <w:noWrap w:val="false"/>
          </w:tcPr>
          <w:p>
            <w:pPr>
              <w:pStyle w:val="832"/>
              <w:numPr>
                <w:ilvl w:val="0"/>
                <w:numId w:val="6"/>
              </w:numPr>
              <w:ind w:right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Карточка дела / документа существует в системе.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32"/>
              <w:numPr>
                <w:ilvl w:val="0"/>
                <w:numId w:val="6"/>
              </w:numPr>
              <w:ind w:right="0"/>
              <w:rPr>
                <w:rFonts w:ascii="Times New Roman" w:hAnsi="Times New Roman" w:eastAsia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Сотрудники авторизованы в системе и имеют доступ к функционалу просмотра карточки(ек) документов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32"/>
              <w:numPr>
                <w:ilvl w:val="0"/>
                <w:numId w:val="6"/>
              </w:numPr>
              <w:ind w:right="0"/>
              <w:rPr>
                <w:rFonts w:ascii="Times New Roman" w:hAnsi="Times New Roman" w:eastAsia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системе существуют правила для автоматического направления документов.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110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40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Основной сценарий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370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1.Сотрудник суда запускает функцию отправки в карточке документа.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2.Система открывает экранную форму направления документа.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3. Система предлагает заполнить ФИО адресата и цель передачи.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4. Сотрудник находит и выбирает ФИО адресата из списка сотрудников, зарегистрированных в системе.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5. Сотрудник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заполняет цель передачи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5. Система формирует новую запись в реестре передачи.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6. Система заполняет запись данными, указанными сотрудником.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7. Система записывает дату и время.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8. Система направляет ссылку на карточку документа и запись в реестре адресату, указанному в графе «ФИО адресата».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9.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Система устанавливает в записи реестра статус «Направлено».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10.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Лицо/отдел, принимающее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, открывает карточку документа по ссылке.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11.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Лицо/отдел, принимающее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 подтверждает получение в системе.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12.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Лицо/отдел, принимающее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 подписывает реестр УКЭП.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12. Система отображает новый статус «Получено» в записи реестра.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13. Система записывает ФИО адресата как ответственного в карточке отправленного документа.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40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Расширение (альтернативный сценарий)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370" w:type="dxa"/>
            <w:vAlign w:val="top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10а.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Лицо/отдел, принимающее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выявляет ошибку передачи.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10а.1.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Лицо/отдел, принимающее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отказывает в приеме документа.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10а.2. Система отображает форму указания причины отказа в принятии.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10а.3.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Лицо/отдел, принимающее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указывает причину отказа.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10а.4.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Лицо/отдел, принимающее документ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запускает отправку внесенных данных.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10а.5. Система отображает в электронном реестре статус «Выявлено несоответствие»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10а.6.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Система отображает сообщение о том, что сведения о несоответствии сохранены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10а.7. Система направляет данные об отказе лицу, инициировавшему направление документа.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ind w:right="342"/>
        <w:spacing w:line="278" w:lineRule="auto"/>
        <w:tabs>
          <w:tab w:val="left" w:pos="660" w:leader="none"/>
          <w:tab w:val="clear" w:pos="709" w:leader="none"/>
        </w:tabs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Style w:val="805"/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28"/>
        <w:spacing w:before="0" w:after="140" w:line="276" w:lineRule="auto"/>
      </w:pPr>
      <w:r/>
      <w:r/>
    </w:p>
    <w:p>
      <w:pPr>
        <w:pStyle w:val="828"/>
        <w:spacing w:before="0" w:after="140" w:line="276" w:lineRule="auto"/>
      </w:pPr>
      <w:r/>
      <w:r/>
    </w:p>
    <w:sectPr>
      <w:footnotePr/>
      <w:endnotePr/>
      <w:type w:val="nextPage"/>
      <w:pgSz w:w="23811" w:h="16838" w:orient="landscape"/>
      <w:pgMar w:top="1134" w:right="1134" w:bottom="1134" w:left="1134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Microsoft YaHei">
    <w:panose1 w:val="020B0603020202020204"/>
  </w:font>
  <w:font w:name="Liberation Sans">
    <w:panose1 w:val="020B0604020202020204"/>
  </w:font>
  <w:font w:name="NSimSun">
    <w:panose1 w:val="02020603020101020101"/>
  </w:font>
  <w:font w:name="Arial">
    <w:panose1 w:val="020B060402020202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2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Arial"/>
        <w:sz w:val="24"/>
        <w:szCs w:val="24"/>
        <w:lang w:val="ru-RU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7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8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69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0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1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2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73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4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5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6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7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8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1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c3fdba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c3fdba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2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3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4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5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c3fdba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c3fdba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95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5fdbc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5fdbc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ebe03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696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36b8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697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43c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698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dc33fa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699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0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01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02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dba" w:themeFill="accent1" w:themeFillTint="34"/>
    </w:tblPr>
    <w:tblStylePr w:type="band1Horz">
      <w:tcPr>
        <w:shd w:val="clear" w:color="ffffff" w:themeColor="accent1" w:themeTint="75" w:fill="79fb64" w:themeFill="accent1" w:themeFillTint="75"/>
      </w:tcPr>
    </w:tblStylePr>
    <w:tblStylePr w:type="band1Vert">
      <w:tcPr>
        <w:shd w:val="clear" w:color="ffffff" w:themeColor="accent1" w:themeTint="75" w:fill="79fb6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8a303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8a303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8a303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</w:style>
  <w:style w:type="table" w:styleId="703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ce7fd" w:themeFill="accent2" w:themeFillTint="32"/>
    </w:tblPr>
    <w:tblStylePr w:type="band1Horz">
      <w:tcPr>
        <w:shd w:val="clear" w:color="ffffff" w:themeColor="accent2" w:themeTint="75" w:fill="64c8fb" w:themeFill="accent2" w:themeFillTint="75"/>
      </w:tcPr>
    </w:tblStylePr>
    <w:tblStylePr w:type="band1Vert">
      <w:tcPr>
        <w:shd w:val="clear" w:color="ffffff" w:themeColor="accent2" w:themeTint="75" w:fill="64c8fb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0369a3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0369a3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0369a3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</w:style>
  <w:style w:type="table" w:styleId="704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dd2ba" w:themeFill="accent3" w:themeFillTint="34"/>
    </w:tblPr>
    <w:tblStylePr w:type="band1Horz">
      <w:tcPr>
        <w:shd w:val="clear" w:color="ffffff" w:themeColor="accent3" w:themeTint="75" w:fill="fb9964" w:themeFill="accent3" w:themeFillTint="75"/>
      </w:tcPr>
    </w:tblStylePr>
    <w:tblStylePr w:type="band1Vert">
      <w:tcPr>
        <w:shd w:val="clear" w:color="ffffff" w:themeColor="accent3" w:themeTint="75" w:fill="fb9964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33e03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33e03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33e03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</w:style>
  <w:style w:type="table" w:styleId="705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3bafd" w:themeFill="accent4" w:themeFillTint="34"/>
    </w:tblPr>
    <w:tblStylePr w:type="band1Horz">
      <w:tcPr>
        <w:shd w:val="clear" w:color="ffffff" w:themeColor="accent4" w:themeTint="75" w:fill="e464fb" w:themeFill="accent4" w:themeFillTint="75"/>
      </w:tcPr>
    </w:tblStylePr>
    <w:tblStylePr w:type="band1Vert">
      <w:tcPr>
        <w:shd w:val="clear" w:color="ffffff" w:themeColor="accent4" w:themeTint="75" w:fill="e464fb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e03a3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e03a3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e03a3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</w:style>
  <w:style w:type="table" w:styleId="706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efbf" w:themeFill="accent5" w:themeFillTint="34"/>
    </w:tblPr>
    <w:tblStylePr w:type="band1Horz">
      <w:tcPr>
        <w:shd w:val="clear" w:color="ffffff" w:themeColor="accent5" w:themeTint="75" w:fill="ffdb71" w:themeFill="accent5" w:themeFillTint="75"/>
      </w:tcPr>
    </w:tblStylePr>
    <w:tblStylePr w:type="band1Vert">
      <w:tcPr>
        <w:shd w:val="clear" w:color="ffffff" w:themeColor="accent5" w:themeTint="75" w:fill="ffdb71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c99c00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c99c00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c99c00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</w:style>
  <w:style w:type="table" w:styleId="707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7cccc" w:themeFill="accent6" w:themeFillTint="34"/>
    </w:tblPr>
    <w:tblStylePr w:type="band1Horz">
      <w:tcPr>
        <w:shd w:val="clear" w:color="ffffff" w:themeColor="accent6" w:themeTint="75" w:fill="ee8f8f" w:themeFill="accent6" w:themeFillTint="75"/>
      </w:tcPr>
    </w:tblStylePr>
    <w:tblStylePr w:type="band1Vert">
      <w:tcPr>
        <w:shd w:val="clear" w:color="ffffff" w:themeColor="accent6" w:themeTint="75" w:fill="ee8f8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c9211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c9211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c9211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</w:style>
  <w:style w:type="table" w:styleId="708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09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c3fdba" w:themeFill="accent1" w:themeFillTint="34"/>
      </w:tcPr>
    </w:tblStylePr>
    <w:tblStylePr w:type="band1Vert">
      <w:tcPr>
        <w:shd w:val="clear" w:color="ffffff" w:themeColor="accent1" w:themeTint="34" w:fill="c3fdba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ebf04" w:themeColor="accent1" w:themeTint="80" w:themeShade="95"/>
      </w:rPr>
    </w:tblStylePr>
    <w:tblStylePr w:type="firstRow">
      <w:rPr>
        <w:b/>
        <w:color w:val="1ebf0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ebf04" w:themeColor="accent1" w:themeTint="80" w:themeShade="95"/>
      </w:rPr>
    </w:tblStylePr>
    <w:tblStylePr w:type="lastRow">
      <w:rPr>
        <w:b/>
        <w:color w:val="1ebf0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0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bce7fd" w:themeFill="accent2" w:themeFillTint="32"/>
      </w:tcPr>
    </w:tblStylePr>
    <w:tblStylePr w:type="band1Vert">
      <w:tcPr>
        <w:shd w:val="clear" w:color="ffffff" w:themeColor="accent2" w:themeTint="32" w:fill="bce7fd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0378ae" w:themeColor="accent2" w:themeTint="97" w:themeShade="95"/>
      </w:rPr>
    </w:tblStylePr>
    <w:tblStylePr w:type="firstRow">
      <w:rPr>
        <w:b/>
        <w:color w:val="0378ae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8ae" w:themeColor="accent2" w:themeTint="97" w:themeShade="95"/>
      </w:rPr>
    </w:tblStylePr>
    <w:tblStylePr w:type="lastRow">
      <w:rPr>
        <w:b/>
        <w:color w:val="0378ae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1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fdd2ba" w:themeFill="accent3" w:themeFillTint="34"/>
      </w:tcPr>
    </w:tblStylePr>
    <w:tblStylePr w:type="band1Vert">
      <w:tcPr>
        <w:shd w:val="clear" w:color="ffffff" w:themeColor="accent3" w:themeTint="34" w:fill="fdd2ba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e2201" w:themeColor="accent3" w:themeTint="FE" w:themeShade="95"/>
      </w:rPr>
    </w:tblStylePr>
    <w:tblStylePr w:type="firstRow">
      <w:rPr>
        <w:b/>
        <w:color w:val="5e2201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e2201" w:themeColor="accent3" w:themeTint="FE" w:themeShade="95"/>
      </w:rPr>
    </w:tblStylePr>
    <w:tblStylePr w:type="lastRow">
      <w:rPr>
        <w:b/>
        <w:color w:val="5e2201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2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3bafd" w:themeFill="accent4" w:themeFillTint="34"/>
      </w:tcPr>
    </w:tblStylePr>
    <w:tblStylePr w:type="band1Vert">
      <w:tcPr>
        <w:shd w:val="clear" w:color="ffffff" w:themeColor="accent4" w:themeTint="34" w:fill="f3bafd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9104ab" w:themeColor="accent4" w:themeTint="9A" w:themeShade="95"/>
      </w:rPr>
    </w:tblStylePr>
    <w:tblStylePr w:type="firstRow">
      <w:rPr>
        <w:b/>
        <w:color w:val="9104ab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104ab" w:themeColor="accent4" w:themeTint="9A" w:themeShade="95"/>
      </w:rPr>
    </w:tblStylePr>
    <w:tblStylePr w:type="lastRow">
      <w:rPr>
        <w:b/>
        <w:color w:val="9104ab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3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fefbf" w:themeFill="accent5" w:themeFillTint="34"/>
      </w:tcPr>
    </w:tblStylePr>
    <w:tblStylePr w:type="band1Vert">
      <w:tcPr>
        <w:shd w:val="clear" w:color="ffffff" w:themeColor="accent5" w:themeTint="34" w:fill="ffefb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745700" w:themeColor="accent5" w:themeShade="95"/>
      </w:rPr>
    </w:tblStylePr>
    <w:tblStylePr w:type="firstRow">
      <w:rPr>
        <w:b/>
        <w:color w:val="745700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45700" w:themeColor="accent5" w:themeShade="95"/>
      </w:rPr>
    </w:tblStylePr>
    <w:tblStylePr w:type="lastRow">
      <w:rPr>
        <w:b/>
        <w:color w:val="745700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4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7cccc" w:themeFill="accent6" w:themeFillTint="34"/>
      </w:tcPr>
    </w:tblStylePr>
    <w:tblStylePr w:type="band1Vert">
      <w:tcPr>
        <w:shd w:val="clear" w:color="ffffff" w:themeColor="accent6" w:themeTint="34" w:fill="f7cccc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745700" w:themeColor="accent5" w:themeShade="95"/>
      </w:rPr>
    </w:tblStylePr>
    <w:tblStylePr w:type="firstRow">
      <w:rPr>
        <w:b/>
        <w:color w:val="745700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45700" w:themeColor="accent5" w:themeShade="95"/>
      </w:rPr>
    </w:tblStylePr>
    <w:tblStylePr w:type="lastRow">
      <w:rPr>
        <w:b/>
        <w:color w:val="745700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5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ebf04" w:themeColor="accent1" w:themeTint="80" w:themeShade="95"/>
        <w:sz w:val="22"/>
      </w:rPr>
      <w:tcPr>
        <w:shd w:val="clear" w:color="ffffff" w:themeColor="accent1" w:themeTint="34" w:fill="c3fdba" w:themeFill="accent1" w:themeFillTint="34"/>
      </w:tcPr>
    </w:tblStylePr>
    <w:tblStylePr w:type="band1Vert">
      <w:tcPr>
        <w:shd w:val="clear" w:color="ffffff" w:themeColor="accent1" w:themeTint="34" w:fill="c3fdba" w:themeFill="accent1" w:themeFillTint="34"/>
      </w:tcPr>
    </w:tblStylePr>
    <w:tblStylePr w:type="band2Horz">
      <w:rPr>
        <w:rFonts w:ascii="Arial" w:hAnsi="Arial"/>
        <w:color w:val="1ebf04" w:themeColor="accent1" w:themeTint="80" w:themeShade="95"/>
        <w:sz w:val="22"/>
      </w:rPr>
    </w:tblStylePr>
    <w:tblStylePr w:type="firstCol">
      <w:rPr>
        <w:rFonts w:ascii="Arial" w:hAnsi="Arial"/>
        <w:i/>
        <w:color w:val="1ebf04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ebf04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ebf04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ebf0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0378ae" w:themeColor="accent2" w:themeTint="97" w:themeShade="95"/>
        <w:sz w:val="22"/>
      </w:rPr>
      <w:tcPr>
        <w:shd w:val="clear" w:color="ffffff" w:themeColor="accent2" w:themeTint="32" w:fill="bce7fd" w:themeFill="accent2" w:themeFillTint="32"/>
      </w:tcPr>
    </w:tblStylePr>
    <w:tblStylePr w:type="band1Vert">
      <w:tcPr>
        <w:shd w:val="clear" w:color="ffffff" w:themeColor="accent2" w:themeTint="32" w:fill="bce7fd" w:themeFill="accent2" w:themeFillTint="32"/>
      </w:tcPr>
    </w:tblStylePr>
    <w:tblStylePr w:type="band2Horz">
      <w:rPr>
        <w:rFonts w:ascii="Arial" w:hAnsi="Arial"/>
        <w:color w:val="0378ae" w:themeColor="accent2" w:themeTint="97" w:themeShade="95"/>
        <w:sz w:val="22"/>
      </w:rPr>
    </w:tblStylePr>
    <w:tblStylePr w:type="firstCol">
      <w:rPr>
        <w:rFonts w:ascii="Arial" w:hAnsi="Arial"/>
        <w:i/>
        <w:color w:val="0378ae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8ae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8ae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8ae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e2201" w:themeColor="accent3" w:themeTint="FE" w:themeShade="95"/>
        <w:sz w:val="22"/>
      </w:rPr>
      <w:tcPr>
        <w:shd w:val="clear" w:color="ffffff" w:themeColor="accent3" w:themeTint="34" w:fill="fdd2ba" w:themeFill="accent3" w:themeFillTint="34"/>
      </w:tcPr>
    </w:tblStylePr>
    <w:tblStylePr w:type="band1Vert">
      <w:tcPr>
        <w:shd w:val="clear" w:color="ffffff" w:themeColor="accent3" w:themeTint="34" w:fill="fdd2ba" w:themeFill="accent3" w:themeFillTint="34"/>
      </w:tcPr>
    </w:tblStylePr>
    <w:tblStylePr w:type="band2Horz">
      <w:rPr>
        <w:rFonts w:ascii="Arial" w:hAnsi="Arial"/>
        <w:color w:val="5e2201" w:themeColor="accent3" w:themeTint="FE" w:themeShade="95"/>
        <w:sz w:val="22"/>
      </w:rPr>
    </w:tblStylePr>
    <w:tblStylePr w:type="firstCol">
      <w:rPr>
        <w:rFonts w:ascii="Arial" w:hAnsi="Arial"/>
        <w:i/>
        <w:color w:val="5e2201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e2201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2201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e2201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9104ab" w:themeColor="accent4" w:themeTint="9A" w:themeShade="95"/>
        <w:sz w:val="22"/>
      </w:rPr>
      <w:tcPr>
        <w:shd w:val="clear" w:color="ffffff" w:themeColor="accent4" w:themeTint="34" w:fill="f3bafd" w:themeFill="accent4" w:themeFillTint="34"/>
      </w:tcPr>
    </w:tblStylePr>
    <w:tblStylePr w:type="band1Vert">
      <w:tcPr>
        <w:shd w:val="clear" w:color="ffffff" w:themeColor="accent4" w:themeTint="34" w:fill="f3bafd" w:themeFill="accent4" w:themeFillTint="34"/>
      </w:tcPr>
    </w:tblStylePr>
    <w:tblStylePr w:type="band2Horz">
      <w:rPr>
        <w:rFonts w:ascii="Arial" w:hAnsi="Arial"/>
        <w:color w:val="9104ab" w:themeColor="accent4" w:themeTint="9A" w:themeShade="95"/>
        <w:sz w:val="22"/>
      </w:rPr>
    </w:tblStylePr>
    <w:tblStylePr w:type="firstCol">
      <w:rPr>
        <w:rFonts w:ascii="Arial" w:hAnsi="Arial"/>
        <w:i/>
        <w:color w:val="9104ab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104ab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104ab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104ab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745700" w:themeColor="accent5" w:themeShade="95"/>
        <w:sz w:val="22"/>
      </w:rPr>
      <w:tcPr>
        <w:shd w:val="clear" w:color="ffffff" w:themeColor="accent5" w:themeTint="34" w:fill="ffefbf" w:themeFill="accent5" w:themeFillTint="34"/>
      </w:tcPr>
    </w:tblStylePr>
    <w:tblStylePr w:type="band1Vert">
      <w:tcPr>
        <w:shd w:val="clear" w:color="ffffff" w:themeColor="accent5" w:themeTint="34" w:fill="ffefbf" w:themeFill="accent5" w:themeFillTint="34"/>
      </w:tcPr>
    </w:tblStylePr>
    <w:tblStylePr w:type="band2Horz">
      <w:rPr>
        <w:rFonts w:ascii="Arial" w:hAnsi="Arial"/>
        <w:color w:val="745700" w:themeColor="accent5" w:themeShade="95"/>
        <w:sz w:val="22"/>
      </w:rPr>
    </w:tblStylePr>
    <w:tblStylePr w:type="firstCol">
      <w:rPr>
        <w:rFonts w:ascii="Arial" w:hAnsi="Arial"/>
        <w:i/>
        <w:color w:val="745700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45700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45700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45700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741111" w:themeColor="accent6" w:themeShade="95"/>
        <w:sz w:val="22"/>
      </w:rPr>
      <w:tcPr>
        <w:shd w:val="clear" w:color="ffffff" w:themeColor="accent6" w:themeTint="34" w:fill="f7cccc" w:themeFill="accent6" w:themeFillTint="34"/>
      </w:tcPr>
    </w:tblStylePr>
    <w:tblStylePr w:type="band1Vert">
      <w:tcPr>
        <w:shd w:val="clear" w:color="ffffff" w:themeColor="accent6" w:themeTint="34" w:fill="f7cccc" w:themeFill="accent6" w:themeFillTint="34"/>
      </w:tcPr>
    </w:tblStylePr>
    <w:tblStylePr w:type="band2Horz">
      <w:rPr>
        <w:rFonts w:ascii="Arial" w:hAnsi="Arial"/>
        <w:color w:val="741111" w:themeColor="accent6" w:themeShade="95"/>
        <w:sz w:val="22"/>
      </w:rPr>
    </w:tblStylePr>
    <w:tblStylePr w:type="firstCol">
      <w:rPr>
        <w:rFonts w:ascii="Arial" w:hAnsi="Arial"/>
        <w:i/>
        <w:color w:val="741111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41111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41111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41111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6fdaa" w:themeFill="accent1" w:themeFillTint="40"/>
      </w:tcPr>
    </w:tblStylePr>
    <w:tblStylePr w:type="band1Vert">
      <w:tcPr>
        <w:shd w:val="clear" w:color="ffffff" w:themeColor="accent1" w:themeTint="40" w:fill="b6fdaa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aae1fd" w:themeFill="accent2" w:themeFillTint="40"/>
      </w:tcPr>
    </w:tblStylePr>
    <w:tblStylePr w:type="band1Vert">
      <w:tcPr>
        <w:shd w:val="clear" w:color="ffffff" w:themeColor="accent2" w:themeTint="40" w:fill="aae1fd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fdc7aa" w:themeFill="accent3" w:themeFillTint="40"/>
      </w:tcPr>
    </w:tblStylePr>
    <w:tblStylePr w:type="band1Vert">
      <w:tcPr>
        <w:shd w:val="clear" w:color="ffffff" w:themeColor="accent3" w:themeTint="40" w:fill="fdc7aa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0aafd" w:themeFill="accent4" w:themeFillTint="40"/>
      </w:tcPr>
    </w:tblStylePr>
    <w:tblStylePr w:type="band1Vert">
      <w:tcPr>
        <w:shd w:val="clear" w:color="ffffff" w:themeColor="accent4" w:themeTint="40" w:fill="f0aafd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ffebb1" w:themeFill="accent5" w:themeFillTint="40"/>
      </w:tcPr>
    </w:tblStylePr>
    <w:tblStylePr w:type="band1Vert">
      <w:tcPr>
        <w:shd w:val="clear" w:color="ffffff" w:themeColor="accent5" w:themeTint="40" w:fill="ffebb1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5c2c2" w:themeFill="accent6" w:themeFillTint="40"/>
      </w:tcPr>
    </w:tblStylePr>
    <w:tblStylePr w:type="band1Vert">
      <w:tcPr>
        <w:shd w:val="clear" w:color="ffffff" w:themeColor="accent6" w:themeTint="40" w:fill="f5c2c2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0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6fdaa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6fdaa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31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aae1fd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aae1fd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32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fdc7aa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fdc7aa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33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0aafd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0aafd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34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ffebb1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ffebb1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35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5c2c2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5c2c2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36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8a303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36b8fb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fa7a35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dc33fa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ffd042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e96e6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6fdaa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6fdaa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8a303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aae1fd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aae1fd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0369a3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fdc7aa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fdc7aa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33e03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0aafd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0aafd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e03a3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ffebb1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ffebb1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c99c00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5c2c2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5c2c2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c9211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1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blStylePr w:type="band1Horz"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2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6b8fb" w:themeFill="accent2" w:themeFillTint="97"/>
    </w:tblPr>
    <w:tblStylePr w:type="band1Horz">
      <w:tcPr>
        <w:shd w:val="clear" w:color="ffffff" w:themeColor="accent2" w:themeTint="97" w:fill="36b8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36b8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36b8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36b8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3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a7a35" w:themeFill="accent3" w:themeFillTint="98"/>
    </w:tblPr>
    <w:tblStylePr w:type="band1Horz">
      <w:tcPr>
        <w:shd w:val="clear" w:color="ffffff" w:themeColor="accent3" w:themeTint="98" w:fill="fa7a35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fa7a35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fa7a35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fa7a35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4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dc33fa" w:themeFill="accent4" w:themeFillTint="9A"/>
    </w:tblPr>
    <w:tblStylePr w:type="band1Horz">
      <w:tcPr>
        <w:shd w:val="clear" w:color="ffffff" w:themeColor="accent4" w:themeTint="9A" w:fill="dc33f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dc33fa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dc33f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dc33fa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5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042" w:themeFill="accent5" w:themeFillTint="9A"/>
    </w:tblPr>
    <w:tblStylePr w:type="band1Horz">
      <w:tcPr>
        <w:shd w:val="clear" w:color="ffffff" w:themeColor="accent5" w:themeTint="9A" w:fill="ffd04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ffd042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ffd04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ffd042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6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6e6e" w:themeFill="accent6" w:themeFillTint="98"/>
    </w:tblPr>
    <w:tblStylePr w:type="band1Horz">
      <w:tcPr>
        <w:shd w:val="clear" w:color="ffffff" w:themeColor="accent6" w:themeTint="98" w:fill="e96e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e96e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e96e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e96e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7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58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6fdaa" w:themeFill="accent1" w:themeFillTint="40"/>
      </w:tcPr>
    </w:tblStylePr>
    <w:tblStylePr w:type="band1Vert">
      <w:tcPr>
        <w:shd w:val="clear" w:color="ffffff" w:themeColor="accent1" w:themeTint="40" w:fill="b6fdaa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e5e01" w:themeColor="accent1" w:themeShade="95"/>
      </w:rPr>
    </w:tblStylePr>
    <w:tblStylePr w:type="firstRow">
      <w:rPr>
        <w:b/>
        <w:color w:val="0e5e0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e01" w:themeColor="accent1" w:themeShade="95"/>
      </w:rPr>
    </w:tblStylePr>
    <w:tblStylePr w:type="lastRow">
      <w:rPr>
        <w:b/>
        <w:color w:val="0e5e0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59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aae1fd" w:themeFill="accent2" w:themeFillTint="40"/>
      </w:tcPr>
    </w:tblStylePr>
    <w:tblStylePr w:type="band1Vert">
      <w:tcPr>
        <w:shd w:val="clear" w:color="ffffff" w:themeColor="accent2" w:themeTint="40" w:fill="aae1fd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0378ae" w:themeColor="accent2" w:themeTint="97" w:themeShade="95"/>
      </w:rPr>
    </w:tblStylePr>
    <w:tblStylePr w:type="firstRow">
      <w:rPr>
        <w:b/>
        <w:color w:val="0378ae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8ae" w:themeColor="accent2" w:themeTint="97" w:themeShade="95"/>
      </w:rPr>
    </w:tblStylePr>
    <w:tblStylePr w:type="lastRow">
      <w:rPr>
        <w:b/>
        <w:color w:val="0378ae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0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fdc7aa" w:themeFill="accent3" w:themeFillTint="40"/>
      </w:tcPr>
    </w:tblStylePr>
    <w:tblStylePr w:type="band1Vert">
      <w:tcPr>
        <w:shd w:val="clear" w:color="ffffff" w:themeColor="accent3" w:themeTint="40" w:fill="fdc7aa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ab3b04" w:themeColor="accent3" w:themeTint="98" w:themeShade="95"/>
      </w:rPr>
    </w:tblStylePr>
    <w:tblStylePr w:type="firstRow">
      <w:rPr>
        <w:b/>
        <w:color w:val="ab3b04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b3b04" w:themeColor="accent3" w:themeTint="98" w:themeShade="95"/>
      </w:rPr>
    </w:tblStylePr>
    <w:tblStylePr w:type="lastRow">
      <w:rPr>
        <w:b/>
        <w:color w:val="ab3b04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61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0aafd" w:themeFill="accent4" w:themeFillTint="40"/>
      </w:tcPr>
    </w:tblStylePr>
    <w:tblStylePr w:type="band1Vert">
      <w:tcPr>
        <w:shd w:val="clear" w:color="ffffff" w:themeColor="accent4" w:themeTint="40" w:fill="f0aafd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9104ab" w:themeColor="accent4" w:themeTint="9A" w:themeShade="95"/>
      </w:rPr>
    </w:tblStylePr>
    <w:tblStylePr w:type="firstRow">
      <w:rPr>
        <w:b/>
        <w:color w:val="9104ab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104ab" w:themeColor="accent4" w:themeTint="9A" w:themeShade="95"/>
      </w:rPr>
    </w:tblStylePr>
    <w:tblStylePr w:type="lastRow">
      <w:rPr>
        <w:b/>
        <w:color w:val="9104ab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62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ffebb1" w:themeFill="accent5" w:themeFillTint="40"/>
      </w:tcPr>
    </w:tblStylePr>
    <w:tblStylePr w:type="band1Vert">
      <w:tcPr>
        <w:shd w:val="clear" w:color="ffffff" w:themeColor="accent5" w:themeTint="40" w:fill="ffebb1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ba8700" w:themeColor="accent5" w:themeTint="9A" w:themeShade="95"/>
      </w:rPr>
    </w:tblStylePr>
    <w:tblStylePr w:type="firstRow">
      <w:rPr>
        <w:b/>
        <w:color w:val="ba870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a8700" w:themeColor="accent5" w:themeTint="9A" w:themeShade="95"/>
      </w:rPr>
    </w:tblStylePr>
    <w:tblStylePr w:type="lastRow">
      <w:rPr>
        <w:b/>
        <w:color w:val="ba870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63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5c2c2" w:themeFill="accent6" w:themeFillTint="40"/>
      </w:tcPr>
    </w:tblStylePr>
    <w:tblStylePr w:type="band1Vert">
      <w:tcPr>
        <w:shd w:val="clear" w:color="ffffff" w:themeColor="accent6" w:themeTint="40" w:fill="f5c2c2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ad1a1a" w:themeColor="accent6" w:themeTint="98" w:themeShade="95"/>
      </w:rPr>
    </w:tblStylePr>
    <w:tblStylePr w:type="firstRow">
      <w:rPr>
        <w:b/>
        <w:color w:val="ad1a1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d1a1a" w:themeColor="accent6" w:themeTint="98" w:themeShade="95"/>
      </w:rPr>
    </w:tblStylePr>
    <w:tblStylePr w:type="lastRow">
      <w:rPr>
        <w:b/>
        <w:color w:val="ad1a1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64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65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e5e01" w:themeColor="accent1" w:themeShade="95"/>
        <w:sz w:val="22"/>
      </w:rPr>
      <w:tcPr>
        <w:shd w:val="clear" w:color="ffffff" w:themeColor="accent1" w:themeTint="40" w:fill="b6fdaa" w:themeFill="accent1" w:themeFillTint="40"/>
      </w:tcPr>
    </w:tblStylePr>
    <w:tblStylePr w:type="band1Vert">
      <w:tcPr>
        <w:shd w:val="clear" w:color="ffffff" w:themeColor="accent1" w:themeTint="40" w:fill="b6fdaa" w:themeFill="accent1" w:themeFillTint="40"/>
      </w:tcPr>
    </w:tblStylePr>
    <w:tblStylePr w:type="band2Horz">
      <w:rPr>
        <w:rFonts w:ascii="Arial" w:hAnsi="Arial"/>
        <w:color w:val="0e5e01" w:themeColor="accent1" w:themeShade="95"/>
        <w:sz w:val="22"/>
      </w:rPr>
    </w:tblStylePr>
    <w:tblStylePr w:type="firstCol">
      <w:rPr>
        <w:rFonts w:ascii="Arial" w:hAnsi="Arial"/>
        <w:i/>
        <w:color w:val="0e5e0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e0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e0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e0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0e5e01" w:themeColor="accent1" w:themeShade="95"/>
        <w:sz w:val="22"/>
      </w:rPr>
    </w:tblStylePr>
  </w:style>
  <w:style w:type="table" w:styleId="766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0378ae" w:themeColor="accent2" w:themeTint="97" w:themeShade="95"/>
        <w:sz w:val="22"/>
      </w:rPr>
      <w:tcPr>
        <w:shd w:val="clear" w:color="ffffff" w:themeColor="accent2" w:themeTint="40" w:fill="aae1fd" w:themeFill="accent2" w:themeFillTint="40"/>
      </w:tcPr>
    </w:tblStylePr>
    <w:tblStylePr w:type="band1Vert">
      <w:tcPr>
        <w:shd w:val="clear" w:color="ffffff" w:themeColor="accent2" w:themeTint="40" w:fill="aae1fd" w:themeFill="accent2" w:themeFillTint="40"/>
      </w:tcPr>
    </w:tblStylePr>
    <w:tblStylePr w:type="band2Horz">
      <w:rPr>
        <w:rFonts w:ascii="Arial" w:hAnsi="Arial"/>
        <w:color w:val="0378ae" w:themeColor="accent2" w:themeTint="97" w:themeShade="95"/>
        <w:sz w:val="22"/>
      </w:rPr>
    </w:tblStylePr>
    <w:tblStylePr w:type="firstCol">
      <w:rPr>
        <w:rFonts w:ascii="Arial" w:hAnsi="Arial"/>
        <w:i/>
        <w:color w:val="0378ae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8ae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8ae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8ae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0378ae" w:themeColor="accent2" w:themeTint="97" w:themeShade="95"/>
        <w:sz w:val="22"/>
      </w:rPr>
    </w:tblStylePr>
  </w:style>
  <w:style w:type="table" w:styleId="767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ab3b04" w:themeColor="accent3" w:themeTint="98" w:themeShade="95"/>
        <w:sz w:val="22"/>
      </w:rPr>
      <w:tcPr>
        <w:shd w:val="clear" w:color="ffffff" w:themeColor="accent3" w:themeTint="40" w:fill="fdc7aa" w:themeFill="accent3" w:themeFillTint="40"/>
      </w:tcPr>
    </w:tblStylePr>
    <w:tblStylePr w:type="band1Vert">
      <w:tcPr>
        <w:shd w:val="clear" w:color="ffffff" w:themeColor="accent3" w:themeTint="40" w:fill="fdc7aa" w:themeFill="accent3" w:themeFillTint="40"/>
      </w:tcPr>
    </w:tblStylePr>
    <w:tblStylePr w:type="band2Horz">
      <w:rPr>
        <w:rFonts w:ascii="Arial" w:hAnsi="Arial"/>
        <w:color w:val="ab3b04" w:themeColor="accent3" w:themeTint="98" w:themeShade="95"/>
        <w:sz w:val="22"/>
      </w:rPr>
    </w:tblStylePr>
    <w:tblStylePr w:type="firstCol">
      <w:rPr>
        <w:rFonts w:ascii="Arial" w:hAnsi="Arial"/>
        <w:i/>
        <w:color w:val="ab3b04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b3b04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b3b04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b3b04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ab3b04" w:themeColor="accent3" w:themeTint="98" w:themeShade="95"/>
        <w:sz w:val="22"/>
      </w:rPr>
    </w:tblStylePr>
  </w:style>
  <w:style w:type="table" w:styleId="768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9104ab" w:themeColor="accent4" w:themeTint="9A" w:themeShade="95"/>
        <w:sz w:val="22"/>
      </w:rPr>
      <w:tcPr>
        <w:shd w:val="clear" w:color="ffffff" w:themeColor="accent4" w:themeTint="40" w:fill="f0aafd" w:themeFill="accent4" w:themeFillTint="40"/>
      </w:tcPr>
    </w:tblStylePr>
    <w:tblStylePr w:type="band1Vert">
      <w:tcPr>
        <w:shd w:val="clear" w:color="ffffff" w:themeColor="accent4" w:themeTint="40" w:fill="f0aafd" w:themeFill="accent4" w:themeFillTint="40"/>
      </w:tcPr>
    </w:tblStylePr>
    <w:tblStylePr w:type="band2Horz">
      <w:rPr>
        <w:rFonts w:ascii="Arial" w:hAnsi="Arial"/>
        <w:color w:val="9104ab" w:themeColor="accent4" w:themeTint="9A" w:themeShade="95"/>
        <w:sz w:val="22"/>
      </w:rPr>
    </w:tblStylePr>
    <w:tblStylePr w:type="firstCol">
      <w:rPr>
        <w:rFonts w:ascii="Arial" w:hAnsi="Arial"/>
        <w:i/>
        <w:color w:val="9104ab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104ab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104ab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104ab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104ab" w:themeColor="accent4" w:themeTint="9A" w:themeShade="95"/>
        <w:sz w:val="22"/>
      </w:rPr>
    </w:tblStylePr>
  </w:style>
  <w:style w:type="table" w:styleId="769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ba8700" w:themeColor="accent5" w:themeTint="9A" w:themeShade="95"/>
        <w:sz w:val="22"/>
      </w:rPr>
      <w:tcPr>
        <w:shd w:val="clear" w:color="ffffff" w:themeColor="accent5" w:themeTint="40" w:fill="ffebb1" w:themeFill="accent5" w:themeFillTint="40"/>
      </w:tcPr>
    </w:tblStylePr>
    <w:tblStylePr w:type="band1Vert">
      <w:tcPr>
        <w:shd w:val="clear" w:color="ffffff" w:themeColor="accent5" w:themeTint="40" w:fill="ffebb1" w:themeFill="accent5" w:themeFillTint="40"/>
      </w:tcPr>
    </w:tblStylePr>
    <w:tblStylePr w:type="band2Horz">
      <w:rPr>
        <w:rFonts w:ascii="Arial" w:hAnsi="Arial"/>
        <w:color w:val="ba8700" w:themeColor="accent5" w:themeTint="9A" w:themeShade="95"/>
        <w:sz w:val="22"/>
      </w:rPr>
    </w:tblStylePr>
    <w:tblStylePr w:type="firstCol">
      <w:rPr>
        <w:rFonts w:ascii="Arial" w:hAnsi="Arial"/>
        <w:i/>
        <w:color w:val="ba870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a870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a870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a870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ba8700" w:themeColor="accent5" w:themeTint="9A" w:themeShade="95"/>
        <w:sz w:val="22"/>
      </w:rPr>
    </w:tblStylePr>
  </w:style>
  <w:style w:type="table" w:styleId="770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ad1a1a" w:themeColor="accent6" w:themeTint="98" w:themeShade="95"/>
        <w:sz w:val="22"/>
      </w:rPr>
      <w:tcPr>
        <w:shd w:val="clear" w:color="ffffff" w:themeColor="accent6" w:themeTint="40" w:fill="f5c2c2" w:themeFill="accent6" w:themeFillTint="40"/>
      </w:tcPr>
    </w:tblStylePr>
    <w:tblStylePr w:type="band1Vert">
      <w:tcPr>
        <w:shd w:val="clear" w:color="ffffff" w:themeColor="accent6" w:themeTint="40" w:fill="f5c2c2" w:themeFill="accent6" w:themeFillTint="40"/>
      </w:tcPr>
    </w:tblStylePr>
    <w:tblStylePr w:type="band2Horz">
      <w:rPr>
        <w:rFonts w:ascii="Arial" w:hAnsi="Arial"/>
        <w:color w:val="ad1a1a" w:themeColor="accent6" w:themeTint="98" w:themeShade="95"/>
        <w:sz w:val="22"/>
      </w:rPr>
    </w:tblStylePr>
    <w:tblStylePr w:type="firstCol">
      <w:rPr>
        <w:rFonts w:ascii="Arial" w:hAnsi="Arial"/>
        <w:i/>
        <w:color w:val="ad1a1a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d1a1a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1a1a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d1a1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ad1a1a" w:themeColor="accent6" w:themeTint="98" w:themeShade="95"/>
        <w:sz w:val="22"/>
      </w:rPr>
    </w:tblStylePr>
  </w:style>
  <w:style w:type="table" w:styleId="771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2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a3fc95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a3fc95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</w:style>
  <w:style w:type="table" w:styleId="773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</w:style>
  <w:style w:type="table" w:styleId="774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</w:style>
  <w:style w:type="table" w:styleId="775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</w:style>
  <w:style w:type="table" w:styleId="776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</w:style>
  <w:style w:type="table" w:styleId="777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</w:style>
  <w:style w:type="table" w:styleId="778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9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a3fc95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a3fc95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ebe03" w:themeFill="accent1" w:themeFillTint="EA"/>
      </w:tcPr>
    </w:tblStylePr>
  </w:style>
  <w:style w:type="table" w:styleId="780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bce7fd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36b8fb" w:themeFill="accent2" w:themeFillTint="97"/>
      </w:tcPr>
    </w:tblStylePr>
  </w:style>
  <w:style w:type="table" w:styleId="781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fdd2ba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43c03" w:themeFill="accent3" w:themeFillTint="FE"/>
      </w:tcPr>
    </w:tblStylePr>
  </w:style>
  <w:style w:type="table" w:styleId="782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3bafd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dc33fa" w:themeFill="accent4" w:themeFillTint="9A"/>
      </w:tcPr>
    </w:tblStylePr>
  </w:style>
  <w:style w:type="table" w:styleId="783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fefb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c99c00" w:themeFill="accent5"/>
      </w:tcPr>
    </w:tblStylePr>
  </w:style>
  <w:style w:type="table" w:styleId="784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7cccc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c9211e" w:themeFill="accent6"/>
      </w:tcPr>
    </w:tblStylePr>
  </w:style>
  <w:style w:type="table" w:styleId="785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86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87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88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89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0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1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792" w:default="1">
    <w:name w:val="Normal"/>
    <w:qFormat/>
    <w:pPr>
      <w:jc w:val="left"/>
      <w:spacing w:before="0" w:after="0"/>
      <w:widowControl/>
    </w:pPr>
    <w:rPr>
      <w:rFonts w:ascii="Liberation Serif" w:hAnsi="Liberation Serif" w:eastAsia="NSimSun" w:cs="Arial"/>
      <w:color w:val="auto"/>
      <w:sz w:val="24"/>
      <w:szCs w:val="24"/>
      <w:lang w:val="ru-RU" w:eastAsia="zh-CN" w:bidi="hi-IN"/>
    </w:rPr>
  </w:style>
  <w:style w:type="paragraph" w:styleId="793">
    <w:name w:val="Heading 1"/>
    <w:basedOn w:val="827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794">
    <w:name w:val="Heading 2"/>
    <w:basedOn w:val="827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795">
    <w:name w:val="Heading 3"/>
    <w:basedOn w:val="827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796">
    <w:name w:val="Heading 4"/>
    <w:basedOn w:val="79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97">
    <w:name w:val="Heading 5"/>
    <w:basedOn w:val="79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98">
    <w:name w:val="Heading 6"/>
    <w:basedOn w:val="79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99">
    <w:name w:val="Heading 7"/>
    <w:basedOn w:val="79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00">
    <w:name w:val="Heading 8"/>
    <w:basedOn w:val="79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801">
    <w:name w:val="Heading 9"/>
    <w:basedOn w:val="79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2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803">
    <w:name w:val="Heading 2 Char"/>
    <w:uiPriority w:val="9"/>
    <w:qFormat/>
    <w:rPr>
      <w:rFonts w:ascii="Arial" w:hAnsi="Arial" w:eastAsia="Arial" w:cs="Arial"/>
      <w:sz w:val="34"/>
    </w:rPr>
  </w:style>
  <w:style w:type="character" w:styleId="804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805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806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807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808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09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810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811">
    <w:name w:val="Title Char"/>
    <w:uiPriority w:val="10"/>
    <w:qFormat/>
    <w:rPr>
      <w:sz w:val="48"/>
      <w:szCs w:val="48"/>
    </w:rPr>
  </w:style>
  <w:style w:type="character" w:styleId="812">
    <w:name w:val="Subtitle Char"/>
    <w:uiPriority w:val="11"/>
    <w:qFormat/>
    <w:rPr>
      <w:sz w:val="24"/>
      <w:szCs w:val="24"/>
    </w:rPr>
  </w:style>
  <w:style w:type="character" w:styleId="813">
    <w:name w:val="Quote Char"/>
    <w:uiPriority w:val="29"/>
    <w:qFormat/>
    <w:rPr>
      <w:i/>
    </w:rPr>
  </w:style>
  <w:style w:type="character" w:styleId="814">
    <w:name w:val="Intense Quote Char"/>
    <w:uiPriority w:val="30"/>
    <w:qFormat/>
    <w:rPr>
      <w:i/>
    </w:rPr>
  </w:style>
  <w:style w:type="character" w:styleId="815">
    <w:name w:val="Header Char"/>
    <w:uiPriority w:val="99"/>
    <w:qFormat/>
  </w:style>
  <w:style w:type="character" w:styleId="816">
    <w:name w:val="Footer Char"/>
    <w:uiPriority w:val="99"/>
    <w:qFormat/>
  </w:style>
  <w:style w:type="character" w:styleId="817">
    <w:name w:val="Caption Char"/>
    <w:uiPriority w:val="99"/>
    <w:qFormat/>
  </w:style>
  <w:style w:type="character" w:styleId="818">
    <w:name w:val="Hyperlink"/>
    <w:uiPriority w:val="99"/>
    <w:unhideWhenUsed/>
    <w:rPr>
      <w:color w:val="0000ff" w:themeColor="hyperlink"/>
      <w:u w:val="single"/>
    </w:rPr>
  </w:style>
  <w:style w:type="character" w:styleId="819">
    <w:name w:val="Footnote Text Char"/>
    <w:uiPriority w:val="99"/>
    <w:qFormat/>
    <w:rPr>
      <w:sz w:val="18"/>
    </w:rPr>
  </w:style>
  <w:style w:type="character" w:styleId="820">
    <w:name w:val="Символ сноски"/>
    <w:uiPriority w:val="99"/>
    <w:unhideWhenUsed/>
    <w:qFormat/>
    <w:rPr>
      <w:vertAlign w:val="superscript"/>
    </w:rPr>
  </w:style>
  <w:style w:type="character" w:styleId="821">
    <w:name w:val="footnote reference"/>
    <w:rPr>
      <w:vertAlign w:val="superscript"/>
    </w:rPr>
  </w:style>
  <w:style w:type="character" w:styleId="822">
    <w:name w:val="Endnote Text Char"/>
    <w:uiPriority w:val="99"/>
    <w:qFormat/>
    <w:rPr>
      <w:sz w:val="20"/>
    </w:rPr>
  </w:style>
  <w:style w:type="character" w:styleId="823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824">
    <w:name w:val="endnote reference"/>
    <w:rPr>
      <w:vertAlign w:val="superscript"/>
    </w:rPr>
  </w:style>
  <w:style w:type="character" w:styleId="825">
    <w:name w:val="Strong"/>
    <w:qFormat/>
    <w:rPr>
      <w:b/>
      <w:bCs/>
    </w:rPr>
  </w:style>
  <w:style w:type="character" w:styleId="826" w:default="1">
    <w:name w:val="Default Paragraph Font"/>
    <w:uiPriority w:val="1"/>
    <w:semiHidden/>
    <w:unhideWhenUsed/>
    <w:qFormat/>
  </w:style>
  <w:style w:type="paragraph" w:styleId="827">
    <w:name w:val="Заголовок"/>
    <w:basedOn w:val="792"/>
    <w:next w:val="828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828">
    <w:name w:val="Body Text"/>
    <w:basedOn w:val="792"/>
    <w:pPr>
      <w:spacing w:before="0" w:after="140" w:line="276" w:lineRule="auto"/>
    </w:pPr>
  </w:style>
  <w:style w:type="paragraph" w:styleId="829">
    <w:name w:val="List"/>
    <w:basedOn w:val="828"/>
    <w:rPr>
      <w:rFonts w:cs="Arial"/>
    </w:rPr>
  </w:style>
  <w:style w:type="paragraph" w:styleId="830">
    <w:name w:val="Caption"/>
    <w:basedOn w:val="792"/>
    <w:qFormat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831">
    <w:name w:val="Указатель"/>
    <w:basedOn w:val="792"/>
    <w:qFormat/>
    <w:pPr>
      <w:suppressLineNumbers/>
    </w:pPr>
    <w:rPr>
      <w:rFonts w:cs="Arial"/>
    </w:rPr>
  </w:style>
  <w:style w:type="paragraph" w:styleId="832">
    <w:name w:val="List Paragraph"/>
    <w:basedOn w:val="792"/>
    <w:uiPriority w:val="34"/>
    <w:qFormat/>
    <w:pPr>
      <w:contextualSpacing/>
      <w:ind w:left="720"/>
      <w:spacing w:before="0" w:after="0"/>
    </w:pPr>
  </w:style>
  <w:style w:type="paragraph" w:styleId="833">
    <w:name w:val="No Spacing"/>
    <w:uiPriority w:val="1"/>
    <w:qFormat/>
    <w:pPr>
      <w:jc w:val="left"/>
      <w:spacing w:before="0" w:after="0" w:line="240" w:lineRule="auto"/>
      <w:widowControl/>
    </w:pPr>
    <w:rPr>
      <w:rFonts w:ascii="Liberation Serif" w:hAnsi="Liberation Serif" w:eastAsia="NSimSun" w:cs="Arial"/>
      <w:color w:val="auto"/>
      <w:sz w:val="24"/>
      <w:szCs w:val="24"/>
      <w:lang w:val="ru-RU" w:eastAsia="zh-CN" w:bidi="hi-IN"/>
    </w:rPr>
  </w:style>
  <w:style w:type="paragraph" w:styleId="834">
    <w:name w:val="Title"/>
    <w:basedOn w:val="792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835">
    <w:name w:val="Subtitle"/>
    <w:basedOn w:val="792"/>
    <w:uiPriority w:val="11"/>
    <w:qFormat/>
    <w:pPr>
      <w:spacing w:before="200" w:after="200"/>
    </w:pPr>
    <w:rPr>
      <w:sz w:val="24"/>
      <w:szCs w:val="24"/>
    </w:rPr>
  </w:style>
  <w:style w:type="paragraph" w:styleId="836">
    <w:name w:val="Quote"/>
    <w:basedOn w:val="792"/>
    <w:uiPriority w:val="29"/>
    <w:qFormat/>
    <w:pPr>
      <w:ind w:left="720" w:right="720"/>
    </w:pPr>
    <w:rPr>
      <w:i/>
    </w:rPr>
  </w:style>
  <w:style w:type="paragraph" w:styleId="837">
    <w:name w:val="Intense Quote"/>
    <w:basedOn w:val="792"/>
    <w:uiPriority w:val="30"/>
    <w:qFormat/>
    <w:pPr>
      <w:ind w:left="720" w:right="720"/>
      <w:spacing w:before="0" w:after="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838">
    <w:name w:val="Колонтитул"/>
    <w:basedOn w:val="792"/>
    <w:qFormat/>
  </w:style>
  <w:style w:type="paragraph" w:styleId="839">
    <w:name w:val="Header"/>
    <w:basedOn w:val="792"/>
    <w:uiPriority w:val="99"/>
    <w:unhideWhenUsed/>
    <w:pPr>
      <w:spacing w:before="0" w:after="0" w:line="240" w:lineRule="auto"/>
      <w:tabs>
        <w:tab w:val="clear" w:pos="709" w:leader="none"/>
        <w:tab w:val="center" w:pos="7143" w:leader="none"/>
        <w:tab w:val="right" w:pos="14287" w:leader="none"/>
      </w:tabs>
    </w:pPr>
  </w:style>
  <w:style w:type="paragraph" w:styleId="840">
    <w:name w:val="Footer"/>
    <w:basedOn w:val="792"/>
    <w:uiPriority w:val="99"/>
    <w:unhideWhenUsed/>
    <w:pPr>
      <w:spacing w:before="0" w:after="0" w:line="240" w:lineRule="auto"/>
      <w:tabs>
        <w:tab w:val="clear" w:pos="709" w:leader="none"/>
        <w:tab w:val="center" w:pos="7143" w:leader="none"/>
        <w:tab w:val="right" w:pos="14287" w:leader="none"/>
      </w:tabs>
    </w:pPr>
  </w:style>
  <w:style w:type="paragraph" w:styleId="841">
    <w:name w:val="footnote text"/>
    <w:basedOn w:val="792"/>
    <w:uiPriority w:val="99"/>
    <w:semiHidden/>
    <w:unhideWhenUsed/>
    <w:pPr>
      <w:spacing w:before="0" w:after="40" w:line="240" w:lineRule="auto"/>
    </w:pPr>
    <w:rPr>
      <w:sz w:val="18"/>
    </w:rPr>
  </w:style>
  <w:style w:type="paragraph" w:styleId="842">
    <w:name w:val="endnote text"/>
    <w:basedOn w:val="792"/>
    <w:uiPriority w:val="99"/>
    <w:semiHidden/>
    <w:unhideWhenUsed/>
    <w:pPr>
      <w:spacing w:before="0" w:after="0" w:line="240" w:lineRule="auto"/>
    </w:pPr>
    <w:rPr>
      <w:sz w:val="20"/>
    </w:rPr>
  </w:style>
  <w:style w:type="paragraph" w:styleId="843">
    <w:name w:val="toc 1"/>
    <w:basedOn w:val="792"/>
    <w:uiPriority w:val="39"/>
    <w:unhideWhenUsed/>
    <w:pPr>
      <w:ind w:left="0" w:right="0" w:firstLine="0"/>
      <w:spacing w:before="0" w:after="57"/>
    </w:pPr>
  </w:style>
  <w:style w:type="paragraph" w:styleId="844">
    <w:name w:val="toc 2"/>
    <w:basedOn w:val="792"/>
    <w:uiPriority w:val="39"/>
    <w:unhideWhenUsed/>
    <w:pPr>
      <w:ind w:left="283" w:right="0" w:firstLine="0"/>
      <w:spacing w:before="0" w:after="57"/>
    </w:pPr>
  </w:style>
  <w:style w:type="paragraph" w:styleId="845">
    <w:name w:val="toc 3"/>
    <w:basedOn w:val="792"/>
    <w:uiPriority w:val="39"/>
    <w:unhideWhenUsed/>
    <w:pPr>
      <w:ind w:left="567" w:right="0" w:firstLine="0"/>
      <w:spacing w:before="0" w:after="57"/>
    </w:pPr>
  </w:style>
  <w:style w:type="paragraph" w:styleId="846">
    <w:name w:val="toc 4"/>
    <w:basedOn w:val="792"/>
    <w:uiPriority w:val="39"/>
    <w:unhideWhenUsed/>
    <w:pPr>
      <w:ind w:left="850" w:right="0" w:firstLine="0"/>
      <w:spacing w:before="0" w:after="57"/>
    </w:pPr>
  </w:style>
  <w:style w:type="paragraph" w:styleId="847">
    <w:name w:val="toc 5"/>
    <w:basedOn w:val="792"/>
    <w:uiPriority w:val="39"/>
    <w:unhideWhenUsed/>
    <w:pPr>
      <w:ind w:left="1134" w:right="0" w:firstLine="0"/>
      <w:spacing w:before="0" w:after="57"/>
    </w:pPr>
  </w:style>
  <w:style w:type="paragraph" w:styleId="848">
    <w:name w:val="toc 6"/>
    <w:basedOn w:val="792"/>
    <w:uiPriority w:val="39"/>
    <w:unhideWhenUsed/>
    <w:pPr>
      <w:ind w:left="1417" w:right="0" w:firstLine="0"/>
      <w:spacing w:before="0" w:after="57"/>
    </w:pPr>
  </w:style>
  <w:style w:type="paragraph" w:styleId="849">
    <w:name w:val="toc 7"/>
    <w:basedOn w:val="792"/>
    <w:uiPriority w:val="39"/>
    <w:unhideWhenUsed/>
    <w:pPr>
      <w:ind w:left="1701" w:right="0" w:firstLine="0"/>
      <w:spacing w:before="0" w:after="57"/>
    </w:pPr>
  </w:style>
  <w:style w:type="paragraph" w:styleId="850">
    <w:name w:val="toc 8"/>
    <w:basedOn w:val="792"/>
    <w:uiPriority w:val="39"/>
    <w:unhideWhenUsed/>
    <w:pPr>
      <w:ind w:left="1984" w:right="0" w:firstLine="0"/>
      <w:spacing w:before="0" w:after="57"/>
    </w:pPr>
  </w:style>
  <w:style w:type="paragraph" w:styleId="851">
    <w:name w:val="toc 9"/>
    <w:basedOn w:val="792"/>
    <w:uiPriority w:val="39"/>
    <w:unhideWhenUsed/>
    <w:pPr>
      <w:ind w:left="2268" w:right="0" w:firstLine="0"/>
      <w:spacing w:before="0" w:after="57"/>
    </w:pPr>
  </w:style>
  <w:style w:type="paragraph" w:styleId="852">
    <w:name w:val="Index Heading"/>
    <w:basedOn w:val="827"/>
  </w:style>
  <w:style w:type="paragraph" w:styleId="853">
    <w:name w:val="TOC Heading"/>
    <w:uiPriority w:val="39"/>
    <w:unhideWhenUsed/>
    <w:qFormat/>
    <w:pPr>
      <w:jc w:val="left"/>
      <w:spacing w:before="0" w:after="0"/>
      <w:widowControl/>
    </w:pPr>
    <w:rPr>
      <w:rFonts w:ascii="Liberation Serif" w:hAnsi="Liberation Serif" w:eastAsia="NSimSun" w:cs="Arial"/>
      <w:color w:val="auto"/>
      <w:sz w:val="24"/>
      <w:szCs w:val="24"/>
      <w:lang w:val="ru-RU" w:eastAsia="zh-CN" w:bidi="hi-IN"/>
    </w:rPr>
  </w:style>
  <w:style w:type="paragraph" w:styleId="854">
    <w:name w:val="table of figures"/>
    <w:basedOn w:val="792"/>
    <w:uiPriority w:val="99"/>
    <w:unhideWhenUsed/>
    <w:pPr>
      <w:spacing w:before="0" w:after="0" w:afterAutospacing="0"/>
    </w:pPr>
  </w:style>
  <w:style w:type="paragraph" w:styleId="855">
    <w:name w:val="Содержимое таблицы"/>
    <w:basedOn w:val="792"/>
    <w:qFormat/>
    <w:pPr>
      <w:widowControl w:val="off"/>
      <w:suppressLineNumbers/>
    </w:pPr>
  </w:style>
  <w:style w:type="paragraph" w:styleId="856">
    <w:name w:val="Заголовок таблицы"/>
    <w:basedOn w:val="855"/>
    <w:qFormat/>
    <w:pPr>
      <w:jc w:val="center"/>
      <w:suppressLineNumbers/>
    </w:pPr>
    <w:rPr>
      <w:b/>
      <w:bCs/>
    </w:rPr>
  </w:style>
  <w:style w:type="paragraph" w:styleId="857" w:customStyle="1">
    <w:name w:val="Table Paragraph"/>
    <w:uiPriority w:val="1"/>
    <w:qFormat/>
    <w:pPr>
      <w:ind w:left="65" w:right="0" w:firstLine="0"/>
      <w:jc w:val="left"/>
      <w:keepLines w:val="0"/>
      <w:keepNext w:val="0"/>
      <w:pageBreakBefore w:val="0"/>
      <w:spacing w:before="77" w:beforeAutospacing="0" w:after="0" w:afterAutospacing="0" w:line="240" w:lineRule="auto"/>
      <w:shd w:val="nil"/>
      <w:widowControl w:val="off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u w:val="none"/>
      <w:vertAlign w:val="baseline"/>
      <w:lang w:val="ru-RU" w:eastAsia="en-US" w:bidi="ar-SA"/>
      <w14:ligatures w14:val="none"/>
    </w:rPr>
  </w:style>
  <w:style w:type="numbering" w:styleId="858" w:default="1">
    <w:name w:val="No List"/>
    <w:uiPriority w:val="99"/>
    <w:semiHidden/>
    <w:unhideWhenUsed/>
    <w:qFormat/>
  </w:style>
  <w:style w:type="table" w:styleId="859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Templat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ru-RU</dc:language>
  <cp:lastModifiedBy>Настя Сотникова</cp:lastModifiedBy>
  <cp:revision>23</cp:revision>
  <dcterms:created xsi:type="dcterms:W3CDTF">2025-10-27T06:36:21Z</dcterms:created>
  <dcterms:modified xsi:type="dcterms:W3CDTF">2026-05-05T08:19:35Z</dcterms:modified>
</cp:coreProperties>
</file>