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0" w:after="49"/>
        <w:rPr>
          <w:rFonts w:eastAsia="Times New Roman"/>
        </w:rPr>
      </w:pPr>
      <w:bookmarkStart w:id="0" w:name="_GoBack"/>
      <w:bookmarkEnd w:id="0"/>
      <w:r>
        <w:rPr>
          <w:rFonts w:eastAsia="Times New Roman"/>
        </w:rPr>
        <w:t>Описание ТБП107 "Рассмотреть дело по гл. 24 по существу" tobe</w:t>
      </w:r>
    </w:p>
    <w:p>
      <w:pPr>
        <w:pStyle w:val="Heading2"/>
        <w:spacing w:before="49" w:after="49"/>
        <w:rPr>
          <w:rFonts w:eastAsia="Times New Roman"/>
        </w:rPr>
      </w:pPr>
      <w:r>
        <w:rPr>
          <w:rFonts w:eastAsia="Times New Roman"/>
        </w:rPr>
        <w:t>1. Нормативно-правовые акты</w:t>
      </w:r>
    </w:p>
    <w:tbl>
      <w:tblPr>
        <w:tblW w:w="480" w:type="dxa"/>
        <w:jc w:val="left"/>
        <w:tblInd w:w="0" w:type="dxa"/>
        <w:tblLayout w:type="fixed"/>
        <w:tblCellMar>
          <w:top w:w="75" w:type="dxa"/>
          <w:left w:w="75" w:type="dxa"/>
          <w:bottom w:w="75" w:type="dxa"/>
          <w:right w:w="75" w:type="dxa"/>
        </w:tblCellMar>
        <w:tblLook w:firstRow="1" w:noVBand="1" w:lastRow="0" w:firstColumn="1" w:lastColumn="0" w:noHBand="0" w:val="04a0"/>
      </w:tblPr>
      <w:tblGrid>
        <w:gridCol w:w="480"/>
      </w:tblGrid>
      <w:tr>
        <w:trPr>
          <w:tblHeader w:val="true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Название НПА с реквизитами</w:t>
            </w:r>
          </w:p>
        </w:tc>
      </w:tr>
      <w:tr>
        <w:trPr>
          <w:cantSplit w:val="true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Web"/>
              <w:spacing w:before="0" w:after="0"/>
              <w:rPr/>
            </w:pPr>
            <w:r>
              <w:rPr/>
              <w:t>"Арбитражный процессуальный кодекс Российской Федерации" от 24.07.2002 N 95-ФЗ, глава 24 "Рассмотрение дел об оспаривании ненормативных правовых актов, решений и действий (бездействия) государственных органов, органов местного самоуправления, иных органов, должностных лиц"</w:t>
            </w:r>
          </w:p>
        </w:tc>
      </w:tr>
    </w:tbl>
    <w:p>
      <w:pPr>
        <w:pStyle w:val="Heading2"/>
        <w:spacing w:before="49" w:after="49"/>
        <w:rPr>
          <w:rFonts w:eastAsia="Times New Roman"/>
        </w:rPr>
      </w:pPr>
      <w:r>
        <w:rPr>
          <w:rFonts w:eastAsia="Times New Roman"/>
        </w:rPr>
        <w:t>2. Схема процесса</w:t>
      </w:r>
    </w:p>
    <w:p>
      <w:pPr>
        <w:pStyle w:val="Code-line"/>
        <w:spacing w:before="49" w:after="49"/>
        <w:rPr/>
      </w:pPr>
      <w:r>
        <w:rPr/>
        <w:t>BPMN-файл: "TBP107_rassmotr_delo_gl_24_apk_suschestvu_bpmn_tobe.bpmn"</w:t>
      </w:r>
    </w:p>
    <w:p>
      <w:pPr>
        <w:pStyle w:val="Heading2"/>
        <w:spacing w:before="49" w:after="49"/>
        <w:rPr>
          <w:rFonts w:eastAsia="Times New Roman"/>
        </w:rPr>
      </w:pPr>
      <w:r>
        <w:rPr>
          <w:rFonts w:eastAsia="Times New Roman"/>
        </w:rPr>
        <w:t>3. Описание схемы бизнес-процессов</w:t>
      </w:r>
    </w:p>
    <w:tbl>
      <w:tblPr>
        <w:tblW w:w="3360" w:type="dxa"/>
        <w:jc w:val="left"/>
        <w:tblInd w:w="0" w:type="dxa"/>
        <w:tblLayout w:type="fixed"/>
        <w:tblCellMar>
          <w:top w:w="75" w:type="dxa"/>
          <w:left w:w="75" w:type="dxa"/>
          <w:bottom w:w="75" w:type="dxa"/>
          <w:right w:w="75" w:type="dxa"/>
        </w:tblCellMar>
        <w:tblLook w:firstRow="1" w:noVBand="1" w:lastRow="0" w:firstColumn="1" w:lastColumn="0" w:noHBand="0" w:val="04a0"/>
      </w:tblPr>
      <w:tblGrid>
        <w:gridCol w:w="480"/>
        <w:gridCol w:w="479"/>
        <w:gridCol w:w="481"/>
        <w:gridCol w:w="479"/>
        <w:gridCol w:w="481"/>
        <w:gridCol w:w="479"/>
        <w:gridCol w:w="480"/>
      </w:tblGrid>
      <w:tr>
        <w:trPr>
          <w:tblHeader w:val="true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 xml:space="preserve">№ </w:t>
            </w:r>
            <w:r>
              <w:rPr>
                <w:rFonts w:eastAsia="Times New Roman"/>
                <w:b/>
                <w:bCs/>
              </w:rPr>
              <w:t>действия</w:t>
            </w:r>
          </w:p>
        </w:tc>
        <w:tc>
          <w:tcPr>
            <w:tcW w:w="4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Роль (актор на конкретном шаге, в т.ч. Система)</w:t>
            </w:r>
          </w:p>
        </w:tc>
        <w:tc>
          <w:tcPr>
            <w:tcW w:w="4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Входящие материалы (объект/данные, инициирующие шаги)</w:t>
            </w:r>
          </w:p>
        </w:tc>
        <w:tc>
          <w:tcPr>
            <w:tcW w:w="4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Исходящие материалы (объект, являющийся результатом действия)</w:t>
            </w:r>
          </w:p>
        </w:tc>
        <w:tc>
          <w:tcPr>
            <w:tcW w:w="4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Наименование шага процесса</w:t>
            </w:r>
          </w:p>
        </w:tc>
        <w:tc>
          <w:tcPr>
            <w:tcW w:w="4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Срок (срок и шаг с которого считается срок)</w:t>
            </w:r>
          </w:p>
        </w:tc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Описание процесса (актор и описание)</w:t>
            </w:r>
          </w:p>
        </w:tc>
      </w:tr>
      <w:tr>
        <w:trPr>
          <w:cantSplit w:val="true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0</w:t>
            </w:r>
          </w:p>
        </w:tc>
        <w:tc>
          <w:tcPr>
            <w:tcW w:w="4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</w:p>
        </w:tc>
        <w:tc>
          <w:tcPr>
            <w:tcW w:w="4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4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4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рассмотреть дело по гл. 24 АПК РФ по существу</w:t>
            </w:r>
          </w:p>
        </w:tc>
        <w:tc>
          <w:tcPr>
            <w:tcW w:w="4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Судья принимает решение о необходимости рассмотрения дела об оспаривании ненормативных правовых актов, решений и действий (бездействия) органов власти по существу.</w:t>
            </w:r>
          </w:p>
        </w:tc>
      </w:tr>
      <w:tr>
        <w:trPr>
          <w:cantSplit w:val="true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4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</w:p>
        </w:tc>
        <w:tc>
          <w:tcPr>
            <w:tcW w:w="4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4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4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</w:t>
            </w:r>
          </w:p>
        </w:tc>
        <w:tc>
          <w:tcPr>
            <w:tcW w:w="4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открывающий шлюз, разделяющий поток на 2-й, 3-й, 4-й, 5-й, 6-й шаги.</w:t>
            </w:r>
          </w:p>
        </w:tc>
      </w:tr>
      <w:tr>
        <w:trPr>
          <w:cantSplit w:val="true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2</w:t>
            </w:r>
          </w:p>
        </w:tc>
        <w:tc>
          <w:tcPr>
            <w:tcW w:w="4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4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дела</w:t>
            </w:r>
          </w:p>
        </w:tc>
        <w:tc>
          <w:tcPr>
            <w:tcW w:w="4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Вывод системы</w:t>
            </w:r>
          </w:p>
        </w:tc>
        <w:tc>
          <w:tcPr>
            <w:tcW w:w="4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Проверить наличие полномочий</w:t>
            </w:r>
          </w:p>
        </w:tc>
        <w:tc>
          <w:tcPr>
            <w:tcW w:w="4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проверяет наличие полномочий у органа или должностного лица, принявшего оспариваемый акт, решение или совершившего оспариваемые действия (бездействие).</w:t>
            </w:r>
          </w:p>
        </w:tc>
      </w:tr>
      <w:tr>
        <w:trPr>
          <w:cantSplit w:val="true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3</w:t>
            </w:r>
          </w:p>
        </w:tc>
        <w:tc>
          <w:tcPr>
            <w:tcW w:w="4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4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дела</w:t>
            </w:r>
          </w:p>
        </w:tc>
        <w:tc>
          <w:tcPr>
            <w:tcW w:w="4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Вывод системы</w:t>
            </w:r>
          </w:p>
        </w:tc>
        <w:tc>
          <w:tcPr>
            <w:tcW w:w="4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Проверить оспариваемый акт/его отдельные положения</w:t>
            </w:r>
          </w:p>
        </w:tc>
        <w:tc>
          <w:tcPr>
            <w:tcW w:w="4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проверяет оспариваемый акт или его отдельные положения.</w:t>
            </w:r>
          </w:p>
        </w:tc>
      </w:tr>
      <w:tr>
        <w:trPr>
          <w:cantSplit w:val="true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4</w:t>
            </w:r>
          </w:p>
        </w:tc>
        <w:tc>
          <w:tcPr>
            <w:tcW w:w="4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4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дела</w:t>
            </w:r>
          </w:p>
        </w:tc>
        <w:tc>
          <w:tcPr>
            <w:tcW w:w="4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Вывод системы</w:t>
            </w:r>
          </w:p>
        </w:tc>
        <w:tc>
          <w:tcPr>
            <w:tcW w:w="4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Проверить оспариваемые решения</w:t>
            </w:r>
          </w:p>
        </w:tc>
        <w:tc>
          <w:tcPr>
            <w:tcW w:w="4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проверяет оспариваемые решения.</w:t>
            </w:r>
          </w:p>
        </w:tc>
      </w:tr>
      <w:tr>
        <w:trPr>
          <w:cantSplit w:val="true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5</w:t>
            </w:r>
          </w:p>
        </w:tc>
        <w:tc>
          <w:tcPr>
            <w:tcW w:w="4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4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дела</w:t>
            </w:r>
          </w:p>
        </w:tc>
        <w:tc>
          <w:tcPr>
            <w:tcW w:w="4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Вывод системы</w:t>
            </w:r>
          </w:p>
        </w:tc>
        <w:tc>
          <w:tcPr>
            <w:tcW w:w="4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Проверить действие (бездействие) органов</w:t>
            </w:r>
          </w:p>
        </w:tc>
        <w:tc>
          <w:tcPr>
            <w:tcW w:w="4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проверяет действия (бездействие) органов.</w:t>
            </w:r>
          </w:p>
        </w:tc>
      </w:tr>
      <w:tr>
        <w:trPr>
          <w:cantSplit w:val="true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6</w:t>
            </w:r>
          </w:p>
        </w:tc>
        <w:tc>
          <w:tcPr>
            <w:tcW w:w="4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4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дела</w:t>
            </w:r>
          </w:p>
        </w:tc>
        <w:tc>
          <w:tcPr>
            <w:tcW w:w="4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Вывод системы</w:t>
            </w:r>
          </w:p>
        </w:tc>
        <w:tc>
          <w:tcPr>
            <w:tcW w:w="4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Проверить соответствие закону/иному НПА</w:t>
            </w:r>
          </w:p>
        </w:tc>
        <w:tc>
          <w:tcPr>
            <w:tcW w:w="4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Система устанавливает соответствие оспариваемых актов, решений, действий (бездействия) закону или иному нормативному правовому акту.</w:t>
            </w:r>
          </w:p>
        </w:tc>
      </w:tr>
      <w:tr>
        <w:trPr>
          <w:cantSplit w:val="true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7</w:t>
            </w:r>
          </w:p>
        </w:tc>
        <w:tc>
          <w:tcPr>
            <w:tcW w:w="4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</w:p>
        </w:tc>
        <w:tc>
          <w:tcPr>
            <w:tcW w:w="4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4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4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</w:t>
            </w:r>
          </w:p>
        </w:tc>
        <w:tc>
          <w:tcPr>
            <w:tcW w:w="4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закрывающий шлюз, объединяющий потоки из 2-го, 3-го, 4-го, 5-го, 6-го шага.</w:t>
            </w:r>
          </w:p>
        </w:tc>
      </w:tr>
      <w:tr>
        <w:trPr>
          <w:cantSplit w:val="true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8</w:t>
            </w:r>
          </w:p>
        </w:tc>
        <w:tc>
          <w:tcPr>
            <w:tcW w:w="4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</w:p>
        </w:tc>
        <w:tc>
          <w:tcPr>
            <w:tcW w:w="4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Вывод системы</w:t>
            </w:r>
          </w:p>
        </w:tc>
        <w:tc>
          <w:tcPr>
            <w:tcW w:w="4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Вывод системы (подтвержденные)</w:t>
            </w:r>
          </w:p>
        </w:tc>
        <w:tc>
          <w:tcPr>
            <w:tcW w:w="4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  <w:t>ТБП139.Проверить выводы системы</w:t>
            </w:r>
          </w:p>
        </w:tc>
        <w:tc>
          <w:tcPr>
            <w:tcW w:w="4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в типовой процесс "Проверить выводы системы". Судья проверяет выводы системы и имеет возможность внести в них коррективы. Дальнейшие действия системы основываются на подтверждении выводов судьей.</w:t>
            </w:r>
          </w:p>
        </w:tc>
      </w:tr>
      <w:tr>
        <w:trPr>
          <w:cantSplit w:val="true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9</w:t>
            </w:r>
          </w:p>
        </w:tc>
        <w:tc>
          <w:tcPr>
            <w:tcW w:w="4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</w:p>
        </w:tc>
        <w:tc>
          <w:tcPr>
            <w:tcW w:w="4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4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4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</w:t>
            </w:r>
          </w:p>
        </w:tc>
        <w:tc>
          <w:tcPr>
            <w:tcW w:w="4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открывающий шлюз, разделяющий поток на 10-й, 11-й, 12-й шаги.</w:t>
            </w:r>
          </w:p>
        </w:tc>
      </w:tr>
      <w:tr>
        <w:trPr>
          <w:cantSplit w:val="true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10</w:t>
            </w:r>
          </w:p>
        </w:tc>
        <w:tc>
          <w:tcPr>
            <w:tcW w:w="4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</w:p>
        </w:tc>
        <w:tc>
          <w:tcPr>
            <w:tcW w:w="4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Web"/>
              <w:spacing w:before="0" w:after="0"/>
              <w:rPr/>
            </w:pPr>
            <w:r>
              <w:rPr/>
              <w:t>Вывод системы (подтвержденные) и Материалы дела</w:t>
            </w:r>
          </w:p>
        </w:tc>
        <w:tc>
          <w:tcPr>
            <w:tcW w:w="4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Выводы судьи</w:t>
            </w:r>
          </w:p>
        </w:tc>
        <w:tc>
          <w:tcPr>
            <w:tcW w:w="4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Установить их соответствие закону/иному НПА</w:t>
            </w:r>
          </w:p>
        </w:tc>
        <w:tc>
          <w:tcPr>
            <w:tcW w:w="4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Судья устанавливает соответствие оспариваемых актов, решений, действий (бездействия) закону или иному нормативному правовому акту.</w:t>
            </w:r>
          </w:p>
        </w:tc>
      </w:tr>
      <w:tr>
        <w:trPr>
          <w:cantSplit w:val="true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11</w:t>
            </w:r>
          </w:p>
        </w:tc>
        <w:tc>
          <w:tcPr>
            <w:tcW w:w="4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</w:p>
        </w:tc>
        <w:tc>
          <w:tcPr>
            <w:tcW w:w="4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Вывод системы (подтвержденные) и Материалы дела</w:t>
            </w:r>
          </w:p>
        </w:tc>
        <w:tc>
          <w:tcPr>
            <w:tcW w:w="4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Выводы судьи</w:t>
            </w:r>
          </w:p>
        </w:tc>
        <w:tc>
          <w:tcPr>
            <w:tcW w:w="4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Установить наличие полномочий</w:t>
            </w:r>
          </w:p>
        </w:tc>
        <w:tc>
          <w:tcPr>
            <w:tcW w:w="4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Судья устанавливает наличие полномочий у органа или должностного лица, принявшего оспариваемый акт, решение или совершившего оспариваемые действия (бездействие).</w:t>
            </w:r>
          </w:p>
        </w:tc>
      </w:tr>
      <w:tr>
        <w:trPr>
          <w:cantSplit w:val="true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12</w:t>
            </w:r>
          </w:p>
        </w:tc>
        <w:tc>
          <w:tcPr>
            <w:tcW w:w="4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</w:p>
        </w:tc>
        <w:tc>
          <w:tcPr>
            <w:tcW w:w="4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Вывод системы (подтвержденные) и Материалы дела</w:t>
            </w:r>
          </w:p>
        </w:tc>
        <w:tc>
          <w:tcPr>
            <w:tcW w:w="4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Выводы судьи</w:t>
            </w:r>
          </w:p>
        </w:tc>
        <w:tc>
          <w:tcPr>
            <w:tcW w:w="4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Установить отсутствие нарушения законных интересов заявителя</w:t>
            </w:r>
          </w:p>
        </w:tc>
        <w:tc>
          <w:tcPr>
            <w:tcW w:w="4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Судья устанавливает отсутствие нарушения прав и законных интересов заявителя в сфере предпринимательской и иной экономической деятельности.</w:t>
            </w:r>
          </w:p>
        </w:tc>
      </w:tr>
      <w:tr>
        <w:trPr>
          <w:cantSplit w:val="true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13</w:t>
            </w:r>
          </w:p>
        </w:tc>
        <w:tc>
          <w:tcPr>
            <w:tcW w:w="4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</w:p>
        </w:tc>
        <w:tc>
          <w:tcPr>
            <w:tcW w:w="4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4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4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</w:t>
            </w:r>
          </w:p>
        </w:tc>
        <w:tc>
          <w:tcPr>
            <w:tcW w:w="4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Закрывающий шлюз, объединяющий потоки из 10-го, 11-го, 12-го шага</w:t>
            </w:r>
          </w:p>
        </w:tc>
      </w:tr>
      <w:tr>
        <w:trPr>
          <w:cantSplit w:val="true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14</w:t>
            </w:r>
          </w:p>
        </w:tc>
        <w:tc>
          <w:tcPr>
            <w:tcW w:w="4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</w:p>
        </w:tc>
        <w:tc>
          <w:tcPr>
            <w:tcW w:w="4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Вывод системы (подтвержденные), выводы судьи и Материалы дела </w:t>
            </w:r>
          </w:p>
        </w:tc>
        <w:tc>
          <w:tcPr>
            <w:tcW w:w="4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4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Web"/>
              <w:spacing w:before="0" w:after="49"/>
              <w:rPr/>
            </w:pPr>
            <w:r>
              <w:rPr/>
              <w:t>Акт законен и права не нарушены?</w:t>
            </w:r>
          </w:p>
          <w:p>
            <w:pPr>
              <w:pStyle w:val="NormalWeb"/>
              <w:spacing w:before="49" w:after="0"/>
              <w:rPr/>
            </w:pPr>
            <w:r>
              <w:rPr/>
              <w:t>Эксклюзивный шлюз</w:t>
            </w:r>
          </w:p>
        </w:tc>
        <w:tc>
          <w:tcPr>
            <w:tcW w:w="4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Web"/>
              <w:spacing w:before="0" w:after="49"/>
              <w:rPr/>
            </w:pPr>
            <w:r>
              <w:rPr/>
              <w:t>Акт законен и права не нарушены?</w:t>
              <w:br/>
              <w:br/>
              <w:t>Если да, то переход к шагу 15.</w:t>
            </w:r>
          </w:p>
          <w:p>
            <w:pPr>
              <w:pStyle w:val="NormalWeb"/>
              <w:spacing w:before="49" w:after="0"/>
              <w:rPr/>
            </w:pPr>
            <w:r>
              <w:rPr/>
              <w:t>Если нет, то переход к шагу 17</w:t>
            </w:r>
          </w:p>
        </w:tc>
      </w:tr>
      <w:tr>
        <w:trPr>
          <w:cantSplit w:val="true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15</w:t>
            </w:r>
          </w:p>
        </w:tc>
        <w:tc>
          <w:tcPr>
            <w:tcW w:w="4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4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Вывод системы (подтвержденные), выводы судьи и Материалы дела </w:t>
            </w:r>
          </w:p>
        </w:tc>
        <w:tc>
          <w:tcPr>
            <w:tcW w:w="4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Позиция по делу (отказ)</w:t>
            </w:r>
          </w:p>
        </w:tc>
        <w:tc>
          <w:tcPr>
            <w:tcW w:w="4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Сохранить основания для отказа в удовлетворении требований</w:t>
            </w:r>
          </w:p>
        </w:tc>
        <w:tc>
          <w:tcPr>
            <w:tcW w:w="4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Система сохраняет результаты проверок и выводы, формирует позицию по делу.</w:t>
            </w:r>
          </w:p>
        </w:tc>
      </w:tr>
      <w:tr>
        <w:trPr>
          <w:cantSplit w:val="true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16</w:t>
            </w:r>
          </w:p>
        </w:tc>
        <w:tc>
          <w:tcPr>
            <w:tcW w:w="4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</w:p>
        </w:tc>
        <w:tc>
          <w:tcPr>
            <w:tcW w:w="4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4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4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Сделаны выводы о будущем решении по делу</w:t>
            </w:r>
          </w:p>
        </w:tc>
        <w:tc>
          <w:tcPr>
            <w:tcW w:w="4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процесса. Сделаны выводы о будущем решении по делу</w:t>
            </w:r>
          </w:p>
        </w:tc>
      </w:tr>
      <w:tr>
        <w:trPr>
          <w:cantSplit w:val="true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17</w:t>
            </w:r>
          </w:p>
        </w:tc>
        <w:tc>
          <w:tcPr>
            <w:tcW w:w="4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</w:p>
        </w:tc>
        <w:tc>
          <w:tcPr>
            <w:tcW w:w="4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4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4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Инклюзивный открывающий шлюз</w:t>
            </w:r>
          </w:p>
        </w:tc>
        <w:tc>
          <w:tcPr>
            <w:tcW w:w="4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Инклюзивный шлюз</w:t>
            </w:r>
          </w:p>
        </w:tc>
      </w:tr>
      <w:tr>
        <w:trPr>
          <w:cantSplit w:val="true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18</w:t>
            </w:r>
          </w:p>
        </w:tc>
        <w:tc>
          <w:tcPr>
            <w:tcW w:w="4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4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Вывод системы (подтвержденные), выводы судьи и Материалы дела </w:t>
            </w:r>
          </w:p>
        </w:tc>
        <w:tc>
          <w:tcPr>
            <w:tcW w:w="4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Позиция по делу</w:t>
            </w:r>
          </w:p>
        </w:tc>
        <w:tc>
          <w:tcPr>
            <w:tcW w:w="4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Сохранить  действие за пределами полномочий</w:t>
            </w:r>
          </w:p>
        </w:tc>
        <w:tc>
          <w:tcPr>
            <w:tcW w:w="4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Система сохраняет/дополняет позицию, сформированную при установлении факта действия госоргана за пределами полномочий.</w:t>
            </w:r>
          </w:p>
        </w:tc>
      </w:tr>
      <w:tr>
        <w:trPr>
          <w:cantSplit w:val="true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19</w:t>
            </w:r>
          </w:p>
        </w:tc>
        <w:tc>
          <w:tcPr>
            <w:tcW w:w="4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4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Вывод системы (подтвержденные), выводы судьи и Материалы дела </w:t>
            </w:r>
          </w:p>
        </w:tc>
        <w:tc>
          <w:tcPr>
            <w:tcW w:w="4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Позиция по делу</w:t>
            </w:r>
          </w:p>
        </w:tc>
        <w:tc>
          <w:tcPr>
            <w:tcW w:w="4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Сохранить противоречие акта закону/иному НПА</w:t>
            </w:r>
          </w:p>
        </w:tc>
        <w:tc>
          <w:tcPr>
            <w:tcW w:w="4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Система сохраняет/дополняет позицию, сформированную при установлении противоречия акта закону/иному НПА.</w:t>
            </w:r>
          </w:p>
        </w:tc>
      </w:tr>
      <w:tr>
        <w:trPr>
          <w:cantSplit w:val="true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20</w:t>
            </w:r>
          </w:p>
        </w:tc>
        <w:tc>
          <w:tcPr>
            <w:tcW w:w="4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4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Вывод системы (подтвержденные), выводы судьи и Материалы дела </w:t>
            </w:r>
          </w:p>
        </w:tc>
        <w:tc>
          <w:tcPr>
            <w:tcW w:w="4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Позиция по делу</w:t>
            </w:r>
          </w:p>
        </w:tc>
        <w:tc>
          <w:tcPr>
            <w:tcW w:w="4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Сохранить нарушение прав и законных интересов заявителя</w:t>
            </w:r>
          </w:p>
        </w:tc>
        <w:tc>
          <w:tcPr>
            <w:tcW w:w="4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Система сохраняет/дополняет позицию, сформированную при установлении нарушения прав и законных интересов заявителя.</w:t>
            </w:r>
          </w:p>
        </w:tc>
      </w:tr>
      <w:tr>
        <w:trPr>
          <w:cantSplit w:val="true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21</w:t>
            </w:r>
          </w:p>
        </w:tc>
        <w:tc>
          <w:tcPr>
            <w:tcW w:w="4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</w:p>
        </w:tc>
        <w:tc>
          <w:tcPr>
            <w:tcW w:w="4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4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4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Инклюзивный шлюз</w:t>
            </w:r>
          </w:p>
        </w:tc>
        <w:tc>
          <w:tcPr>
            <w:tcW w:w="4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Инклюзивный закрывающий шлюз, объединяющий потоки из 18-го, 19-го, 20-го шага</w:t>
            </w:r>
          </w:p>
        </w:tc>
      </w:tr>
      <w:tr>
        <w:trPr>
          <w:cantSplit w:val="true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22</w:t>
            </w:r>
          </w:p>
        </w:tc>
        <w:tc>
          <w:tcPr>
            <w:tcW w:w="4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</w:p>
        </w:tc>
        <w:tc>
          <w:tcPr>
            <w:tcW w:w="4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4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4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Web"/>
              <w:spacing w:before="0" w:after="49"/>
              <w:rPr/>
            </w:pPr>
            <w:r>
              <w:rPr/>
              <w:t>Рассматривался вопрос об оспаривании НПА, решений органов/должностных лиц?</w:t>
            </w:r>
          </w:p>
          <w:p>
            <w:pPr>
              <w:pStyle w:val="NormalWeb"/>
              <w:spacing w:before="49" w:after="0"/>
              <w:rPr/>
            </w:pPr>
            <w:r>
              <w:rPr/>
              <w:t>Эксклюзивный открывающий шлюз</w:t>
            </w:r>
          </w:p>
        </w:tc>
        <w:tc>
          <w:tcPr>
            <w:tcW w:w="4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Web"/>
              <w:spacing w:before="0" w:after="49"/>
              <w:rPr/>
            </w:pPr>
            <w:r>
              <w:rPr/>
              <w:t>Рассматривался вопрос об оспаривании НПА, решений органов/должностных лиц?</w:t>
            </w:r>
          </w:p>
          <w:p>
            <w:pPr>
              <w:pStyle w:val="NormalWeb"/>
              <w:spacing w:before="49" w:after="49"/>
              <w:rPr/>
            </w:pPr>
            <w:r>
              <w:rPr/>
            </w:r>
          </w:p>
          <w:p>
            <w:pPr>
              <w:pStyle w:val="NormalWeb"/>
              <w:spacing w:before="49" w:after="49"/>
              <w:rPr/>
            </w:pPr>
            <w:r>
              <w:rPr/>
              <w:t>Если да, то переход к шагу 23.</w:t>
            </w:r>
          </w:p>
          <w:p>
            <w:pPr>
              <w:pStyle w:val="NormalWeb"/>
              <w:spacing w:before="49" w:after="0"/>
              <w:rPr/>
            </w:pPr>
            <w:r>
              <w:rPr/>
              <w:t>Если нет, то переход к шагу 25</w:t>
            </w:r>
          </w:p>
        </w:tc>
      </w:tr>
      <w:tr>
        <w:trPr>
          <w:cantSplit w:val="true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23</w:t>
            </w:r>
          </w:p>
        </w:tc>
        <w:tc>
          <w:tcPr>
            <w:tcW w:w="4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4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Позиция по делу</w:t>
            </w:r>
          </w:p>
        </w:tc>
        <w:tc>
          <w:tcPr>
            <w:tcW w:w="4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Позиция по делу дополнена</w:t>
            </w:r>
          </w:p>
        </w:tc>
        <w:tc>
          <w:tcPr>
            <w:tcW w:w="4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Указать на признание акта недействительным/решения незаконным</w:t>
            </w:r>
          </w:p>
        </w:tc>
        <w:tc>
          <w:tcPr>
            <w:tcW w:w="4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добавляет в заготовку позиции стандартные положения о признании акта недействительным/решения незаконным.</w:t>
            </w:r>
          </w:p>
        </w:tc>
      </w:tr>
      <w:tr>
        <w:trPr>
          <w:cantSplit w:val="true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24</w:t>
            </w:r>
          </w:p>
        </w:tc>
        <w:tc>
          <w:tcPr>
            <w:tcW w:w="4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</w:p>
        </w:tc>
        <w:tc>
          <w:tcPr>
            <w:tcW w:w="4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Позиция по делу</w:t>
            </w:r>
          </w:p>
        </w:tc>
        <w:tc>
          <w:tcPr>
            <w:tcW w:w="4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Позиция по делу дополнена</w:t>
            </w:r>
          </w:p>
        </w:tc>
        <w:tc>
          <w:tcPr>
            <w:tcW w:w="4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Указать на обязанность устранить допущенные нарушения</w:t>
            </w:r>
          </w:p>
        </w:tc>
        <w:tc>
          <w:tcPr>
            <w:tcW w:w="4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Судья добавляет в заготовку позиции положения об обязанности устранить допущенные нарушения.</w:t>
            </w:r>
          </w:p>
        </w:tc>
      </w:tr>
      <w:tr>
        <w:trPr>
          <w:cantSplit w:val="true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25</w:t>
            </w:r>
          </w:p>
        </w:tc>
        <w:tc>
          <w:tcPr>
            <w:tcW w:w="4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4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Позиция по делу</w:t>
            </w:r>
          </w:p>
        </w:tc>
        <w:tc>
          <w:tcPr>
            <w:tcW w:w="4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Позиция по делу дополнена</w:t>
            </w:r>
          </w:p>
        </w:tc>
        <w:tc>
          <w:tcPr>
            <w:tcW w:w="4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Указать на признание действий (бездействий) незаконными</w:t>
            </w:r>
          </w:p>
        </w:tc>
        <w:tc>
          <w:tcPr>
            <w:tcW w:w="4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добавляет в заготовку позиции стандартные положения о признании действий (бездействий) незаконными.</w:t>
            </w:r>
          </w:p>
        </w:tc>
      </w:tr>
      <w:tr>
        <w:trPr>
          <w:cantSplit w:val="true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26</w:t>
            </w:r>
          </w:p>
        </w:tc>
        <w:tc>
          <w:tcPr>
            <w:tcW w:w="4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</w:p>
        </w:tc>
        <w:tc>
          <w:tcPr>
            <w:tcW w:w="4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4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4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Web"/>
              <w:spacing w:before="0" w:after="49"/>
              <w:rPr/>
            </w:pPr>
            <w:r>
              <w:rPr/>
              <w:t>Какую обязанность органа/должностного лица нужно указать?</w:t>
            </w:r>
          </w:p>
          <w:p>
            <w:pPr>
              <w:pStyle w:val="NormalWeb"/>
              <w:spacing w:before="49" w:after="0"/>
              <w:rPr/>
            </w:pPr>
            <w:r>
              <w:rPr/>
              <w:t>Инклюзивный шлюз</w:t>
            </w:r>
          </w:p>
        </w:tc>
        <w:tc>
          <w:tcPr>
            <w:tcW w:w="4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Web"/>
              <w:spacing w:before="0" w:after="49"/>
              <w:rPr/>
            </w:pPr>
            <w:r>
              <w:rPr/>
              <w:t>Какую обязанность органа/должностного лица нужно указать?</w:t>
            </w:r>
          </w:p>
          <w:p>
            <w:pPr>
              <w:pStyle w:val="NormalWeb"/>
              <w:spacing w:before="49" w:after="49"/>
              <w:rPr/>
            </w:pPr>
            <w:r>
              <w:rPr/>
            </w:r>
          </w:p>
          <w:p>
            <w:pPr>
              <w:pStyle w:val="NormalWeb"/>
              <w:spacing w:before="49" w:after="0"/>
              <w:rPr/>
            </w:pPr>
            <w:r>
              <w:rPr/>
              <w:t>Переходы: к шагу 27; к шагу 28; к шагу 29</w:t>
            </w:r>
          </w:p>
        </w:tc>
      </w:tr>
      <w:tr>
        <w:trPr>
          <w:cantSplit w:val="true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27</w:t>
            </w:r>
          </w:p>
        </w:tc>
        <w:tc>
          <w:tcPr>
            <w:tcW w:w="4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</w:p>
        </w:tc>
        <w:tc>
          <w:tcPr>
            <w:tcW w:w="4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Позиция по делу</w:t>
            </w:r>
          </w:p>
        </w:tc>
        <w:tc>
          <w:tcPr>
            <w:tcW w:w="4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Позиция по делу дополнена</w:t>
            </w:r>
          </w:p>
        </w:tc>
        <w:tc>
          <w:tcPr>
            <w:tcW w:w="4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Обязать совершить определенные действия</w:t>
            </w:r>
          </w:p>
        </w:tc>
        <w:tc>
          <w:tcPr>
            <w:tcW w:w="4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Судья добавляет в заготовку позиции положения об обязанности совершить определенные действия.</w:t>
            </w:r>
          </w:p>
        </w:tc>
      </w:tr>
      <w:tr>
        <w:trPr>
          <w:cantSplit w:val="true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28</w:t>
            </w:r>
          </w:p>
        </w:tc>
        <w:tc>
          <w:tcPr>
            <w:tcW w:w="4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</w:p>
        </w:tc>
        <w:tc>
          <w:tcPr>
            <w:tcW w:w="4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Позиция по делу</w:t>
            </w:r>
          </w:p>
        </w:tc>
        <w:tc>
          <w:tcPr>
            <w:tcW w:w="4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Позиция по делу дополнена</w:t>
            </w:r>
          </w:p>
        </w:tc>
        <w:tc>
          <w:tcPr>
            <w:tcW w:w="4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Обязать принять решение</w:t>
            </w:r>
          </w:p>
        </w:tc>
        <w:tc>
          <w:tcPr>
            <w:tcW w:w="4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Судья добавляет в заготовку позиции положения об обязанности принять решение.</w:t>
            </w:r>
          </w:p>
        </w:tc>
      </w:tr>
      <w:tr>
        <w:trPr>
          <w:cantSplit w:val="true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29</w:t>
            </w:r>
          </w:p>
        </w:tc>
        <w:tc>
          <w:tcPr>
            <w:tcW w:w="4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</w:p>
        </w:tc>
        <w:tc>
          <w:tcPr>
            <w:tcW w:w="4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Позиция по делу</w:t>
            </w:r>
          </w:p>
        </w:tc>
        <w:tc>
          <w:tcPr>
            <w:tcW w:w="4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Позиция по делу дополнена</w:t>
            </w:r>
          </w:p>
        </w:tc>
        <w:tc>
          <w:tcPr>
            <w:tcW w:w="4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Обязать иным образом устранить допущенные нарушения</w:t>
            </w:r>
          </w:p>
        </w:tc>
        <w:tc>
          <w:tcPr>
            <w:tcW w:w="4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Судья добавляет в заготовку позиции положения об обязанности иным образом устранить допущенные нарушения.</w:t>
            </w:r>
          </w:p>
        </w:tc>
      </w:tr>
      <w:tr>
        <w:trPr>
          <w:cantSplit w:val="true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30</w:t>
            </w:r>
          </w:p>
        </w:tc>
        <w:tc>
          <w:tcPr>
            <w:tcW w:w="4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</w:p>
        </w:tc>
        <w:tc>
          <w:tcPr>
            <w:tcW w:w="4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4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4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Инклюзивный шлюз</w:t>
            </w:r>
          </w:p>
        </w:tc>
        <w:tc>
          <w:tcPr>
            <w:tcW w:w="4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Инклюзивный закрывающий шлюз, объединяющий потоки из 27-го, 28-го, 29-го шага.</w:t>
            </w:r>
          </w:p>
        </w:tc>
      </w:tr>
      <w:tr>
        <w:trPr>
          <w:cantSplit w:val="true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31</w:t>
            </w:r>
          </w:p>
        </w:tc>
        <w:tc>
          <w:tcPr>
            <w:tcW w:w="4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</w:p>
        </w:tc>
        <w:tc>
          <w:tcPr>
            <w:tcW w:w="4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Позиция по делу</w:t>
            </w:r>
          </w:p>
        </w:tc>
        <w:tc>
          <w:tcPr>
            <w:tcW w:w="4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Позиция по делу дополнена</w:t>
            </w:r>
          </w:p>
        </w:tc>
        <w:tc>
          <w:tcPr>
            <w:tcW w:w="4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Определить срок для совершения действия</w:t>
            </w:r>
          </w:p>
        </w:tc>
        <w:tc>
          <w:tcPr>
            <w:tcW w:w="4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Судья определяет срок для совершения действия и добавляет его в позицию. </w:t>
            </w:r>
          </w:p>
        </w:tc>
      </w:tr>
      <w:tr>
        <w:trPr>
          <w:cantSplit w:val="true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32</w:t>
            </w:r>
          </w:p>
        </w:tc>
        <w:tc>
          <w:tcPr>
            <w:tcW w:w="4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</w:p>
        </w:tc>
        <w:tc>
          <w:tcPr>
            <w:tcW w:w="4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4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4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4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закрывающий шлюз, объединяющий потоки из 24-го, 31-го шага</w:t>
            </w:r>
          </w:p>
        </w:tc>
      </w:tr>
      <w:tr>
        <w:trPr>
          <w:cantSplit w:val="true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33</w:t>
            </w:r>
          </w:p>
        </w:tc>
        <w:tc>
          <w:tcPr>
            <w:tcW w:w="4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</w:p>
        </w:tc>
        <w:tc>
          <w:tcPr>
            <w:tcW w:w="4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4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4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Web"/>
              <w:spacing w:before="0" w:after="49"/>
              <w:rPr/>
            </w:pPr>
            <w:r>
              <w:rPr/>
              <w:t>Нужно указать на необходимость сообщить об исполнении решения суда?</w:t>
            </w:r>
          </w:p>
          <w:p>
            <w:pPr>
              <w:pStyle w:val="NormalWeb"/>
              <w:spacing w:before="49" w:after="0"/>
              <w:rPr/>
            </w:pPr>
            <w:r>
              <w:rPr/>
              <w:t>Эксклюзивный шлюз</w:t>
            </w:r>
          </w:p>
        </w:tc>
        <w:tc>
          <w:tcPr>
            <w:tcW w:w="4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Web"/>
              <w:spacing w:before="0" w:after="49"/>
              <w:rPr/>
            </w:pPr>
            <w:r>
              <w:rPr/>
              <w:t>Нужно указать на необходимость сообщить об исполнении решения суда?</w:t>
            </w:r>
          </w:p>
          <w:p>
            <w:pPr>
              <w:pStyle w:val="NormalWeb"/>
              <w:spacing w:before="49" w:after="49"/>
              <w:rPr/>
            </w:pPr>
            <w:r>
              <w:rPr/>
            </w:r>
          </w:p>
          <w:p>
            <w:pPr>
              <w:pStyle w:val="NormalWeb"/>
              <w:spacing w:before="49" w:after="49"/>
              <w:rPr/>
            </w:pPr>
            <w:r>
              <w:rPr/>
              <w:t>Если да, то переход к шагу 34.</w:t>
            </w:r>
          </w:p>
          <w:p>
            <w:pPr>
              <w:pStyle w:val="NormalWeb"/>
              <w:spacing w:before="49" w:after="0"/>
              <w:rPr/>
            </w:pPr>
            <w:r>
              <w:rPr/>
              <w:t>Если нет, то переход к шагу 35</w:t>
            </w:r>
          </w:p>
        </w:tc>
      </w:tr>
      <w:tr>
        <w:trPr>
          <w:cantSplit w:val="true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34</w:t>
            </w:r>
          </w:p>
        </w:tc>
        <w:tc>
          <w:tcPr>
            <w:tcW w:w="4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</w:p>
        </w:tc>
        <w:tc>
          <w:tcPr>
            <w:tcW w:w="4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Позиция по делу</w:t>
            </w:r>
          </w:p>
        </w:tc>
        <w:tc>
          <w:tcPr>
            <w:tcW w:w="4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Позиция по делу дополнена</w:t>
            </w:r>
          </w:p>
        </w:tc>
        <w:tc>
          <w:tcPr>
            <w:tcW w:w="4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Указать на необходимость сообщить об исполнении решения суда</w:t>
            </w:r>
          </w:p>
        </w:tc>
        <w:tc>
          <w:tcPr>
            <w:tcW w:w="4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Судья добавляет в позицию указание о необходимости сообщить об исполнении решения суда.</w:t>
            </w:r>
          </w:p>
        </w:tc>
      </w:tr>
      <w:tr>
        <w:trPr>
          <w:cantSplit w:val="true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35</w:t>
            </w:r>
          </w:p>
        </w:tc>
        <w:tc>
          <w:tcPr>
            <w:tcW w:w="4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</w:p>
        </w:tc>
        <w:tc>
          <w:tcPr>
            <w:tcW w:w="4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4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4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Web"/>
              <w:spacing w:before="0" w:after="0"/>
              <w:rPr/>
            </w:pPr>
            <w:r>
              <w:rPr/>
              <w:t>Эксклюзивный шлюз</w:t>
            </w:r>
          </w:p>
        </w:tc>
        <w:tc>
          <w:tcPr>
            <w:tcW w:w="4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Web"/>
              <w:spacing w:before="0" w:after="49"/>
              <w:rPr/>
            </w:pPr>
            <w:r>
              <w:rPr/>
            </w:r>
          </w:p>
          <w:p>
            <w:pPr>
              <w:pStyle w:val="NormalWeb"/>
              <w:spacing w:before="49" w:after="0"/>
              <w:rPr/>
            </w:pPr>
            <w:r>
              <w:rPr/>
              <w:t>Эксклюзивный закрывающий шлюз объединяющий потоки из 33-го, 34-го шага.</w:t>
            </w:r>
          </w:p>
        </w:tc>
      </w:tr>
      <w:tr>
        <w:trPr>
          <w:cantSplit w:val="true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36</w:t>
            </w:r>
          </w:p>
        </w:tc>
        <w:tc>
          <w:tcPr>
            <w:tcW w:w="4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</w:p>
        </w:tc>
        <w:tc>
          <w:tcPr>
            <w:tcW w:w="4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4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4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Web"/>
              <w:spacing w:before="0" w:after="49"/>
              <w:rPr/>
            </w:pPr>
            <w:r>
              <w:rPr/>
              <w:t>Необходимо определить срок исполнения?</w:t>
            </w:r>
          </w:p>
          <w:p>
            <w:pPr>
              <w:pStyle w:val="NormalWeb"/>
              <w:spacing w:before="49" w:after="0"/>
              <w:rPr/>
            </w:pPr>
            <w:r>
              <w:rPr/>
              <w:t>Эксклюзивный шлюз</w:t>
            </w:r>
          </w:p>
        </w:tc>
        <w:tc>
          <w:tcPr>
            <w:tcW w:w="4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Web"/>
              <w:spacing w:before="0" w:after="49"/>
              <w:rPr/>
            </w:pPr>
            <w:r>
              <w:rPr/>
              <w:t>Необходимо определить срок исполнения?</w:t>
            </w:r>
          </w:p>
          <w:p>
            <w:pPr>
              <w:pStyle w:val="NormalWeb"/>
              <w:spacing w:before="49" w:after="49"/>
              <w:rPr/>
            </w:pPr>
            <w:r>
              <w:rPr/>
            </w:r>
          </w:p>
          <w:p>
            <w:pPr>
              <w:pStyle w:val="NormalWeb"/>
              <w:spacing w:before="49" w:after="49"/>
              <w:rPr/>
            </w:pPr>
            <w:r>
              <w:rPr/>
              <w:t>Если да, то переход к шагу 37.</w:t>
            </w:r>
          </w:p>
          <w:p>
            <w:pPr>
              <w:pStyle w:val="NormalWeb"/>
              <w:spacing w:before="49" w:after="0"/>
              <w:rPr/>
            </w:pPr>
            <w:r>
              <w:rPr/>
              <w:t>Если нет, то переход к шагу 38</w:t>
            </w:r>
          </w:p>
        </w:tc>
      </w:tr>
      <w:tr>
        <w:trPr>
          <w:cantSplit w:val="true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37</w:t>
            </w:r>
          </w:p>
        </w:tc>
        <w:tc>
          <w:tcPr>
            <w:tcW w:w="4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4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Позиция по делу</w:t>
            </w:r>
          </w:p>
        </w:tc>
        <w:tc>
          <w:tcPr>
            <w:tcW w:w="4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Позиция по делу дополнена</w:t>
            </w:r>
          </w:p>
        </w:tc>
        <w:tc>
          <w:tcPr>
            <w:tcW w:w="4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Определить срок исполнения</w:t>
            </w:r>
          </w:p>
        </w:tc>
        <w:tc>
          <w:tcPr>
            <w:tcW w:w="4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Система указывает стандартный для такого рода дел срок, а судья далее в процессе может его проверить и пересмотреть.</w:t>
            </w:r>
          </w:p>
        </w:tc>
      </w:tr>
      <w:tr>
        <w:trPr>
          <w:cantSplit w:val="true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38</w:t>
            </w:r>
          </w:p>
        </w:tc>
        <w:tc>
          <w:tcPr>
            <w:tcW w:w="4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</w:p>
        </w:tc>
        <w:tc>
          <w:tcPr>
            <w:tcW w:w="4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4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4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4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закрывающий шлюз, объединяющий потоки из 36-го, 37-го шага</w:t>
            </w:r>
          </w:p>
        </w:tc>
      </w:tr>
      <w:tr>
        <w:trPr>
          <w:cantSplit w:val="true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39</w:t>
            </w:r>
          </w:p>
        </w:tc>
        <w:tc>
          <w:tcPr>
            <w:tcW w:w="4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4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Вывод системы (подтвержденные), выводы судьи и Материалы дела </w:t>
            </w:r>
          </w:p>
        </w:tc>
        <w:tc>
          <w:tcPr>
            <w:tcW w:w="4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Позиция по делу </w:t>
            </w:r>
          </w:p>
        </w:tc>
        <w:tc>
          <w:tcPr>
            <w:tcW w:w="4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Сохранить данные</w:t>
            </w:r>
          </w:p>
        </w:tc>
        <w:tc>
          <w:tcPr>
            <w:tcW w:w="4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Система сохраняет результаты проведенных проверок, выводы и позицию в деле. </w:t>
            </w:r>
          </w:p>
        </w:tc>
      </w:tr>
      <w:tr>
        <w:trPr>
          <w:cantSplit w:val="true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40</w:t>
            </w:r>
          </w:p>
        </w:tc>
        <w:tc>
          <w:tcPr>
            <w:tcW w:w="4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</w:p>
        </w:tc>
        <w:tc>
          <w:tcPr>
            <w:tcW w:w="4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4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4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Сделаны выводы о будущем решении по делу</w:t>
            </w:r>
          </w:p>
        </w:tc>
        <w:tc>
          <w:tcPr>
            <w:tcW w:w="4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процесса. Сделаны выводы о будущем решении по делу.</w:t>
            </w:r>
          </w:p>
        </w:tc>
      </w:tr>
    </w:tbl>
    <w:p>
      <w:pPr>
        <w:pStyle w:val="Heading2"/>
        <w:spacing w:before="49" w:after="49"/>
        <w:rPr>
          <w:rFonts w:eastAsia="Times New Roman"/>
        </w:rPr>
      </w:pPr>
      <w:r>
        <w:rPr>
          <w:rFonts w:eastAsia="Times New Roman"/>
        </w:rPr>
        <w:t>4. Пользователи и роли</w:t>
      </w:r>
    </w:p>
    <w:tbl>
      <w:tblPr>
        <w:tblW w:w="960" w:type="dxa"/>
        <w:jc w:val="left"/>
        <w:tblInd w:w="0" w:type="dxa"/>
        <w:tblLayout w:type="fixed"/>
        <w:tblCellMar>
          <w:top w:w="75" w:type="dxa"/>
          <w:left w:w="75" w:type="dxa"/>
          <w:bottom w:w="75" w:type="dxa"/>
          <w:right w:w="75" w:type="dxa"/>
        </w:tblCellMar>
        <w:tblLook w:firstRow="1" w:noVBand="1" w:lastRow="0" w:firstColumn="1" w:lastColumn="0" w:noHBand="0" w:val="04a0"/>
      </w:tblPr>
      <w:tblGrid>
        <w:gridCol w:w="480"/>
        <w:gridCol w:w="479"/>
      </w:tblGrid>
      <w:tr>
        <w:trPr>
          <w:tblHeader w:val="true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Бизнес-роль (с указанием суда/инстанции/иного административного органа)</w:t>
            </w:r>
          </w:p>
        </w:tc>
        <w:tc>
          <w:tcPr>
            <w:tcW w:w="4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Выполняемые действия/функция</w:t>
            </w:r>
          </w:p>
        </w:tc>
      </w:tr>
      <w:tr>
        <w:trPr>
          <w:cantSplit w:val="true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Суд (Судья)</w:t>
            </w:r>
          </w:p>
        </w:tc>
        <w:tc>
          <w:tcPr>
            <w:tcW w:w="4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Принимает решение о необходимости рассмотрения дела по существу и руководит ходом всего процесса. Проверяет и утверждает результаты автоматизированных проверок, подготовленных системой. Устанавливает правовые обстоятельства: соответствие оспариваемого акта, решения или действия (бездействия) закону, наличие полномочий у органа или должностного лица, наличие или отсутствие нарушения прав и законных интересов заявителя. Формирует правовую позицию суда по делу, включая решения о признании акта недействительным, действий (бездействия) — незаконными, а также определяет обязанности государственных органов и должностных лиц по устранению нарушений. Устанавливает сроки исполнения судебного акта и необходимость уведомления суда об исполнении. Формирует и утверждает итоговое решение по делу.</w:t>
            </w:r>
          </w:p>
        </w:tc>
      </w:tr>
      <w:tr>
        <w:trPr>
          <w:cantSplit w:val="true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4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Выполняет автоматизированный анализ материалов дела: проверяет наличие полномочий у органа или должностного лица, правильность и законность оспариваемого акта, решения, действия (бездействия). Формирует промежуточные выводы и общий отчет с рекомендациями для судьи. После подтверждения выводов судьёй формирует проект правовой позиции по делу (отказ, признание акта недействительным, указание на действия, выходящие за пределы полномочий, нарушение прав заявителя и т.д.). Встраивает стандартные положения в текст судебного акта: формулировки о признании акта недействительным, об обязанности устранить нарушения, о сроках исполнения и уведомлении суда. Обеспечивает техническое оформление решения и сохранение данных в информационной системе суда. Не принимает правовых решений, а поддерживает судью аналитически и технически.</w:t>
            </w:r>
          </w:p>
        </w:tc>
      </w:tr>
    </w:tbl>
    <w:p>
      <w:pPr>
        <w:pStyle w:val="Heading2"/>
        <w:spacing w:before="49" w:after="49"/>
        <w:rPr>
          <w:rFonts w:eastAsia="Times New Roman"/>
        </w:rPr>
      </w:pPr>
      <w:r>
        <w:rPr>
          <w:rFonts w:eastAsia="Times New Roman"/>
        </w:rPr>
        <w:t>5. Реестр справочников</w:t>
      </w:r>
    </w:p>
    <w:p>
      <w:pPr>
        <w:pStyle w:val="NormalWeb"/>
        <w:spacing w:before="49" w:after="49"/>
        <w:rPr/>
      </w:pPr>
      <w:r>
        <w:rPr/>
        <w:t>Справочники указаны в Приложении к Заключению об обследовании текущего состояния субъектов автоматизации (3-я очередь) - </w:t>
      </w:r>
      <w:r>
        <w:rPr>
          <w:rStyle w:val="Emphasis"/>
        </w:rPr>
        <w:t>Справочники (классификаторы) ПК САД</w:t>
      </w:r>
    </w:p>
    <w:p>
      <w:pPr>
        <w:pStyle w:val="Heading2"/>
        <w:spacing w:before="49" w:after="49"/>
        <w:rPr>
          <w:rFonts w:eastAsia="Times New Roman"/>
        </w:rPr>
      </w:pPr>
      <w:r>
        <w:rPr>
          <w:rFonts w:eastAsia="Times New Roman"/>
        </w:rPr>
        <w:t>6. Процессуальные документы</w:t>
      </w:r>
    </w:p>
    <w:p>
      <w:pPr>
        <w:pStyle w:val="Heading3"/>
        <w:spacing w:before="49" w:after="49"/>
        <w:rPr>
          <w:rFonts w:eastAsia="Times New Roman"/>
        </w:rPr>
      </w:pPr>
      <w:r>
        <w:rPr>
          <w:rFonts w:eastAsia="Times New Roman"/>
        </w:rPr>
        <w:t>6.1. Документы рассмотрения</w:t>
      </w:r>
    </w:p>
    <w:tbl>
      <w:tblPr>
        <w:tblW w:w="2400" w:type="dxa"/>
        <w:jc w:val="left"/>
        <w:tblInd w:w="0" w:type="dxa"/>
        <w:tblLayout w:type="fixed"/>
        <w:tblCellMar>
          <w:top w:w="75" w:type="dxa"/>
          <w:left w:w="75" w:type="dxa"/>
          <w:bottom w:w="75" w:type="dxa"/>
          <w:right w:w="75" w:type="dxa"/>
        </w:tblCellMar>
        <w:tblLook w:firstRow="1" w:noVBand="1" w:lastRow="0" w:firstColumn="1" w:lastColumn="0" w:noHBand="0" w:val="04a0"/>
      </w:tblPr>
      <w:tblGrid>
        <w:gridCol w:w="480"/>
        <w:gridCol w:w="480"/>
        <w:gridCol w:w="480"/>
        <w:gridCol w:w="480"/>
        <w:gridCol w:w="480"/>
      </w:tblGrid>
      <w:tr>
        <w:trPr>
          <w:tblHeader w:val="true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 xml:space="preserve">№ </w:t>
            </w:r>
            <w:r>
              <w:rPr>
                <w:rFonts w:eastAsia="Times New Roman"/>
                <w:b/>
                <w:bCs/>
              </w:rPr>
              <w:t>п/п</w:t>
            </w:r>
          </w:p>
        </w:tc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Вид документа</w:t>
            </w:r>
          </w:p>
        </w:tc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Наименование документа</w:t>
            </w:r>
          </w:p>
        </w:tc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Форма (печатная/устная)</w:t>
            </w:r>
          </w:p>
        </w:tc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Образец / ссылка на облако, где располагается</w:t>
            </w:r>
          </w:p>
        </w:tc>
      </w:tr>
      <w:tr>
        <w:trPr>
          <w:cantSplit w:val="true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</w:t>
            </w:r>
          </w:p>
        </w:tc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об оспаривании ненормативного правового акта, решения, действия (бездействия) органа власти</w:t>
            </w:r>
          </w:p>
        </w:tc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электронная</w:t>
            </w:r>
          </w:p>
        </w:tc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</w:tbl>
    <w:p>
      <w:pPr>
        <w:pStyle w:val="Heading3"/>
        <w:spacing w:before="49" w:after="49"/>
        <w:rPr>
          <w:rFonts w:eastAsia="Times New Roman"/>
        </w:rPr>
      </w:pPr>
      <w:r>
        <w:rPr>
          <w:rFonts w:eastAsia="Times New Roman"/>
        </w:rPr>
        <w:t>6.2. Судебные акты</w:t>
      </w:r>
    </w:p>
    <w:tbl>
      <w:tblPr>
        <w:tblW w:w="2880" w:type="dxa"/>
        <w:jc w:val="left"/>
        <w:tblInd w:w="0" w:type="dxa"/>
        <w:tblLayout w:type="fixed"/>
        <w:tblCellMar>
          <w:top w:w="75" w:type="dxa"/>
          <w:left w:w="75" w:type="dxa"/>
          <w:bottom w:w="75" w:type="dxa"/>
          <w:right w:w="75" w:type="dxa"/>
        </w:tblCellMar>
        <w:tblLook w:firstRow="1" w:noVBand="1" w:lastRow="0" w:firstColumn="1" w:lastColumn="0" w:noHBand="0" w:val="04a0"/>
      </w:tblPr>
      <w:tblGrid>
        <w:gridCol w:w="480"/>
        <w:gridCol w:w="479"/>
        <w:gridCol w:w="481"/>
        <w:gridCol w:w="480"/>
        <w:gridCol w:w="479"/>
        <w:gridCol w:w="480"/>
      </w:tblGrid>
      <w:tr>
        <w:trPr>
          <w:tblHeader w:val="true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 xml:space="preserve">№ </w:t>
            </w:r>
            <w:r>
              <w:rPr>
                <w:rFonts w:eastAsia="Times New Roman"/>
                <w:b/>
                <w:bCs/>
              </w:rPr>
              <w:t>п/п</w:t>
            </w:r>
          </w:p>
        </w:tc>
        <w:tc>
          <w:tcPr>
            <w:tcW w:w="4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Вид документа</w:t>
            </w:r>
          </w:p>
        </w:tc>
        <w:tc>
          <w:tcPr>
            <w:tcW w:w="4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Наименование документа</w:t>
            </w:r>
          </w:p>
        </w:tc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Форма (протокольное/отдельный СА)</w:t>
            </w:r>
          </w:p>
        </w:tc>
        <w:tc>
          <w:tcPr>
            <w:tcW w:w="4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Обжалуется (да/нет)</w:t>
            </w:r>
          </w:p>
        </w:tc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Образец / ссылка на облако</w:t>
            </w:r>
          </w:p>
        </w:tc>
      </w:tr>
      <w:tr>
        <w:trPr>
          <w:cantSplit w:val="true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4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Решение</w:t>
            </w:r>
          </w:p>
        </w:tc>
        <w:tc>
          <w:tcPr>
            <w:tcW w:w="4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Решение по делу об оспаривании ненормативного правового акта, решения, действия (бездействия) органа власти</w:t>
            </w:r>
          </w:p>
        </w:tc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4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>
        <w:trPr>
          <w:cantSplit w:val="true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2</w:t>
            </w:r>
          </w:p>
        </w:tc>
        <w:tc>
          <w:tcPr>
            <w:tcW w:w="4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4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признании акта недействительным</w:t>
            </w:r>
          </w:p>
        </w:tc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4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>
        <w:trPr>
          <w:cantSplit w:val="true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3</w:t>
            </w:r>
          </w:p>
        </w:tc>
        <w:tc>
          <w:tcPr>
            <w:tcW w:w="4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4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признании решения незаконным</w:t>
            </w:r>
          </w:p>
        </w:tc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4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>
        <w:trPr>
          <w:cantSplit w:val="true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4</w:t>
            </w:r>
          </w:p>
        </w:tc>
        <w:tc>
          <w:tcPr>
            <w:tcW w:w="4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4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признании действий (бездействия) незаконными</w:t>
            </w:r>
          </w:p>
        </w:tc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4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</w:tbl>
    <w:p>
      <w:pPr>
        <w:pStyle w:val="Heading2"/>
        <w:spacing w:before="49" w:after="49"/>
        <w:rPr>
          <w:rFonts w:eastAsia="Times New Roman"/>
        </w:rPr>
      </w:pPr>
      <w:r>
        <w:rPr>
          <w:rFonts w:eastAsia="Times New Roman"/>
        </w:rPr>
        <w:t>7. Межведомственное взаимодействие</w:t>
      </w:r>
    </w:p>
    <w:p>
      <w:pPr>
        <w:pStyle w:val="NormalWeb"/>
        <w:spacing w:before="49" w:after="49"/>
        <w:rPr/>
      </w:pPr>
      <w:r>
        <w:rPr/>
        <w:t>Межведомственное взаимодействие содержится в схемах типовых процессов.</w:t>
      </w:r>
    </w:p>
    <w:p>
      <w:pPr>
        <w:pStyle w:val="Heading2"/>
        <w:spacing w:before="49" w:after="49"/>
        <w:rPr>
          <w:rFonts w:eastAsia="Times New Roman"/>
        </w:rPr>
      </w:pPr>
      <w:r>
        <w:rPr>
          <w:rFonts w:eastAsia="Times New Roman"/>
        </w:rPr>
        <w:t>8. Информация о сроках</w:t>
      </w:r>
    </w:p>
    <w:tbl>
      <w:tblPr>
        <w:tblW w:w="1920" w:type="dxa"/>
        <w:jc w:val="left"/>
        <w:tblInd w:w="0" w:type="dxa"/>
        <w:tblLayout w:type="fixed"/>
        <w:tblCellMar>
          <w:top w:w="75" w:type="dxa"/>
          <w:left w:w="75" w:type="dxa"/>
          <w:bottom w:w="75" w:type="dxa"/>
          <w:right w:w="75" w:type="dxa"/>
        </w:tblCellMar>
        <w:tblLook w:firstRow="1" w:noVBand="1" w:lastRow="0" w:firstColumn="1" w:lastColumn="0" w:noHBand="0" w:val="04a0"/>
      </w:tblPr>
      <w:tblGrid>
        <w:gridCol w:w="480"/>
        <w:gridCol w:w="480"/>
        <w:gridCol w:w="480"/>
        <w:gridCol w:w="479"/>
      </w:tblGrid>
      <w:tr>
        <w:trPr>
          <w:tblHeader w:val="true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Шаг процесса</w:t>
            </w:r>
          </w:p>
        </w:tc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Описание действия, для которого установлен срок</w:t>
            </w:r>
          </w:p>
        </w:tc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Срок (год, месяц, день)</w:t>
            </w:r>
          </w:p>
        </w:tc>
        <w:tc>
          <w:tcPr>
            <w:tcW w:w="4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Каким правовым актом установлен (при наличии)</w:t>
            </w:r>
          </w:p>
        </w:tc>
      </w:tr>
      <w:tr>
        <w:trPr>
          <w:cantSplit w:val="true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25</w:t>
            </w:r>
          </w:p>
        </w:tc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Рассмотреть дело по гл.24 АПК по существу</w:t>
            </w:r>
          </w:p>
        </w:tc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1 месяц с даты поступления (Дела об оспаривании решений органов местного самоуправления о сносе самовольных построек или об их приведении в соответствие с предельными параметрами разрешенного строительства, реконструкции объектов капитального строительства, установленными правилами землепользования и застройки, документацией по планировке территории, или обязательными требованиями к параметрам объектов капитального строительства)</w:t>
            </w:r>
          </w:p>
        </w:tc>
        <w:tc>
          <w:tcPr>
            <w:tcW w:w="4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абзацу 3 ч.1 ст.200 АПК РФ</w:t>
            </w:r>
          </w:p>
        </w:tc>
      </w:tr>
      <w:tr>
        <w:trPr>
          <w:cantSplit w:val="true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Web"/>
              <w:spacing w:before="0" w:after="0"/>
              <w:rPr/>
            </w:pPr>
            <w:r>
              <w:rPr/>
              <w:t>25</w:t>
            </w:r>
          </w:p>
        </w:tc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Рассмотреть дело по гл.24 АПК по существу</w:t>
            </w:r>
          </w:p>
        </w:tc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3 месяца с даты поступления заявления</w:t>
            </w:r>
          </w:p>
        </w:tc>
        <w:tc>
          <w:tcPr>
            <w:tcW w:w="4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Web"/>
              <w:spacing w:before="0" w:after="0"/>
              <w:rPr/>
            </w:pPr>
            <w:r>
              <w:rPr/>
              <w:t>ч.1 ст.200 АПК РФ</w:t>
            </w:r>
          </w:p>
        </w:tc>
      </w:tr>
    </w:tbl>
    <w:p>
      <w:pPr>
        <w:pStyle w:val="Normal"/>
        <w:rPr>
          <w:rFonts w:eastAsia="Times New Roman"/>
        </w:rPr>
      </w:pPr>
      <w:r>
        <w:rPr>
          <w:rFonts w:eastAsia="Times New Roman"/>
        </w:rPr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Times New Roman">
    <w:charset w:val="cc"/>
    <w:family w:val="roman"/>
    <w:pitch w:val="variable"/>
  </w:font>
  <w:font w:name="Calibri Light">
    <w:charset w:val="cc"/>
    <w:family w:val="roman"/>
    <w:pitch w:val="variable"/>
  </w:font>
  <w:font w:name="Liberation Sans">
    <w:altName w:val="Arial"/>
    <w:charset w:val="cc"/>
    <w:family w:val="swiss"/>
    <w:pitch w:val="variable"/>
  </w:font>
</w:fonts>
</file>

<file path=word/settings.xml><?xml version="1.0" encoding="utf-8"?>
<w:settings xmlns:w="http://schemas.openxmlformats.org/wordprocessingml/2006/main">
  <w:zoom w:percent="130"/>
  <w:defaultTabStop w:val="708"/>
  <w:autoHyphenation w:val="true"/>
  <w:compat>
    <w:compatSetting w:name="compatibilityMode" w:uri="http://schemas.microsoft.com/office/word" w:val="12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ru-RU" w:eastAsia="ru-RU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  <w:pPr>
      <w:widowControl/>
      <w:bidi w:val="0"/>
      <w:spacing w:before="0" w:after="0"/>
      <w:jc w:val="left"/>
    </w:pPr>
    <w:rPr>
      <w:rFonts w:eastAsia="" w:eastAsiaTheme="minorEastAsia" w:ascii="Times New Roman" w:hAnsi="Times New Roman" w:cs="Times New Roman"/>
      <w:color w:val="auto"/>
      <w:kern w:val="0"/>
      <w:sz w:val="24"/>
      <w:szCs w:val="24"/>
      <w:lang w:val="ru-RU" w:eastAsia="ru-RU" w:bidi="ar-SA"/>
    </w:rPr>
  </w:style>
  <w:style w:type="paragraph" w:styleId="Heading1">
    <w:name w:val="Heading 1"/>
    <w:basedOn w:val="Normal"/>
    <w:link w:val="1"/>
    <w:uiPriority w:val="9"/>
    <w:qFormat/>
    <w:pPr>
      <w:spacing w:beforeAutospacing="1" w:afterAutospacing="1"/>
      <w:outlineLvl w:val="0"/>
    </w:pPr>
    <w:rPr>
      <w:b/>
      <w:bCs/>
      <w:kern w:val="2"/>
      <w:sz w:val="48"/>
      <w:szCs w:val="48"/>
    </w:rPr>
  </w:style>
  <w:style w:type="paragraph" w:styleId="Heading2">
    <w:name w:val="Heading 2"/>
    <w:basedOn w:val="Normal"/>
    <w:link w:val="2"/>
    <w:uiPriority w:val="9"/>
    <w:qFormat/>
    <w:pPr>
      <w:spacing w:beforeAutospacing="1" w:afterAutospacing="1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link w:val="3"/>
    <w:uiPriority w:val="9"/>
    <w:qFormat/>
    <w:pPr>
      <w:spacing w:beforeAutospacing="1" w:afterAutospacing="1"/>
      <w:outlineLvl w:val="2"/>
    </w:pPr>
    <w:rPr>
      <w:b/>
      <w:bCs/>
      <w:sz w:val="27"/>
      <w:szCs w:val="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1" w:customStyle="1">
    <w:name w:val="Заголовок 1 Знак"/>
    <w:basedOn w:val="DefaultParagraphFont"/>
    <w:uiPriority w:val="9"/>
    <w:qFormat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character" w:styleId="2" w:customStyle="1">
    <w:name w:val="Заголовок 2 Знак"/>
    <w:basedOn w:val="DefaultParagraphFont"/>
    <w:uiPriority w:val="9"/>
    <w:semiHidden/>
    <w:qFormat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26"/>
      <w:szCs w:val="26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3" w:customStyle="1">
    <w:name w:val="Заголовок 3 Знак"/>
    <w:basedOn w:val="DefaultParagraphFont"/>
    <w:uiPriority w:val="9"/>
    <w:semiHidden/>
    <w:qFormat/>
    <w:rPr>
      <w:rFonts w:ascii="Calibri Light" w:hAnsi="Calibri Light" w:eastAsia="" w:cs="" w:asciiTheme="majorHAnsi" w:cstheme="majorBidi" w:eastAsiaTheme="majorEastAsia" w:hAnsiTheme="majorHAnsi"/>
      <w:color w:themeColor="accent1" w:themeShade="7f" w:val="1F3763"/>
      <w:sz w:val="24"/>
      <w:szCs w:val="24"/>
    </w:rPr>
  </w:style>
  <w:style w:type="paragraph" w:styleId="Style11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2">
    <w:name w:val="Указатель"/>
    <w:basedOn w:val="Normal"/>
    <w:qFormat/>
    <w:pPr>
      <w:suppressLineNumbers/>
    </w:pPr>
    <w:rPr>
      <w:rFonts w:cs="Arial"/>
    </w:rPr>
  </w:style>
  <w:style w:type="paragraph" w:styleId="Msonormal" w:customStyle="1">
    <w:name w:val="msonormal"/>
    <w:basedOn w:val="Normal"/>
    <w:qFormat/>
    <w:pPr>
      <w:spacing w:beforeAutospacing="1" w:afterAutospacing="1"/>
    </w:pPr>
    <w:rPr/>
  </w:style>
  <w:style w:type="paragraph" w:styleId="NormalWeb">
    <w:name w:val="Normal (Web)"/>
    <w:basedOn w:val="Normal"/>
    <w:uiPriority w:val="99"/>
    <w:semiHidden/>
    <w:unhideWhenUsed/>
    <w:qFormat/>
    <w:pPr>
      <w:spacing w:beforeAutospacing="1" w:afterAutospacing="1"/>
    </w:pPr>
    <w:rPr/>
  </w:style>
  <w:style w:type="paragraph" w:styleId="Code-line" w:customStyle="1">
    <w:name w:val="code-line"/>
    <w:basedOn w:val="Normal"/>
    <w:qFormat/>
    <w:pPr>
      <w:spacing w:beforeAutospacing="1" w:afterAutospacing="1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Application>LibreOffice/7.6.4.1$Windows_X86_64 LibreOffice_project/e19e193f88cd6c0525a17fb7a176ed8e6a3e2aa1</Application>
  <AppVersion>15.0000</AppVersion>
  <DocSecurity>4</DocSecurity>
  <Pages>143</Pages>
  <Words>1512</Words>
  <Characters>10236</Characters>
  <CharactersWithSpaces>11460</CharactersWithSpaces>
  <Paragraphs>381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2025-11-19T10:07:00Z</dcterms:created>
  <dc:creator>Швецов Сергей Вячеславович</dc:creator>
  <dc:description/>
  <dc:language>ru-RU</dc:language>
  <cp:lastModifiedBy/>
  <dcterms:modified xsi:type="dcterms:W3CDTF">2025-11-25T08:59:28Z</dcterms:modified>
  <cp:revision>3</cp:revision>
  <dc:subject/>
  <dc:title>Описание ТБП107 "Рассмотреть дело по гл. 24 по существу" tobe pprocessmaster draft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