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ТБП44 "Назначить СЗ"</w:t>
      </w:r>
      <w:r>
        <w:rPr>
          <w:rFonts w:eastAsia="Times New Roman"/>
        </w:rPr>
      </w:r>
    </w:p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1. Интервью </w:t>
      </w:r>
      <w:r>
        <w:rPr>
          <w:rFonts w:eastAsia="Times New Roman"/>
        </w:rPr>
      </w:r>
    </w:p>
    <w:p>
      <w:pPr>
        <w:pStyle w:val="633"/>
        <w:rPr>
          <w:lang w:val="en-US"/>
        </w:rPr>
      </w:pPr>
      <w:r>
        <w:t xml:space="preserve">Информация содержится в интервью:</w:t>
      </w:r>
      <w:r>
        <w:rPr>
          <w:lang w:val="en-US"/>
        </w:rPr>
        <w:br/>
      </w:r>
      <w:r>
        <w:t xml:space="preserve"> </w:t>
      </w:r>
      <w:hyperlink r:id="rId9" w:tooltip="https://itpm-wiki.mos.ru/pages/viewpage.action?pageId=482562270" w:history="1">
        <w:r>
          <w:rPr>
            <w:rStyle w:val="638"/>
          </w:rPr>
          <w:t xml:space="preserve">ОЛ2. Интервью судьи АСГМ</w:t>
        </w:r>
      </w:hyperlink>
      <w:r>
        <w:br/>
      </w:r>
      <w:hyperlink r:id="rId10" w:tooltip="https://itpm-wiki.mos.ru/pages/viewpage.action?pageId=482562353" w:history="1">
        <w:r>
          <w:rPr>
            <w:rStyle w:val="638"/>
          </w:rPr>
          <w:t xml:space="preserve">ОЛ6. Интервью помощника судьи АСГМ</w:t>
        </w:r>
      </w:hyperlink>
      <w:r>
        <w:br/>
      </w:r>
      <w:hyperlink r:id="rId11" w:tooltip="https://itpm-wiki.mos.ru/pages/viewpage.action?pageId=482562383" w:history="1">
        <w:r>
          <w:rPr>
            <w:rStyle w:val="638"/>
          </w:rPr>
          <w:t xml:space="preserve">ОЛ8. Интервью помощника судьи АСГМ</w:t>
        </w:r>
      </w:hyperlink>
      <w:r/>
      <w:r>
        <w:rPr>
          <w:lang w:val="en-US"/>
        </w:rPr>
      </w:r>
    </w:p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2. Перечень регламентирующих НПА</w:t>
      </w:r>
      <w:r>
        <w:rPr>
          <w:rFonts w:eastAsia="Times New Roman"/>
        </w:rPr>
      </w:r>
    </w:p>
    <w:tbl>
      <w:tblPr>
        <w:tblW w:w="14451" w:type="dxa"/>
        <w:tblLayout w:type="fixed"/>
        <w:tblCellMar>
          <w:left w:w="75" w:type="dxa"/>
          <w:top w:w="75" w:type="dxa"/>
          <w:right w:w="75" w:type="dxa"/>
          <w:bottom w:w="75" w:type="dxa"/>
        </w:tblCellMar>
        <w:tblLook w:val="04A0" w:firstRow="1" w:lastRow="0" w:firstColumn="1" w:lastColumn="0" w:noHBand="0" w:noVBand="1"/>
      </w:tblPr>
      <w:tblGrid>
        <w:gridCol w:w="14451"/>
      </w:tblGrid>
      <w:tr>
        <w:tblPrEx/>
        <w:trPr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51" w:type="dxa"/>
            <w:vAlign w:val="center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Название НПА с реквизитами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51" w:type="dxa"/>
            <w:vAlign w:val="center"/>
            <w:textDirection w:val="lrTb"/>
            <w:noWrap w:val="false"/>
          </w:tcPr>
          <w:p>
            <w:r>
              <w:t xml:space="preserve">Арбитражный процессуальный кодекс Российской Федерации от 24.07.2002 N 95-ФЗ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51" w:type="dxa"/>
            <w:vAlign w:val="center"/>
            <w:textDirection w:val="lrTb"/>
            <w:noWrap w:val="false"/>
          </w:tcPr>
          <w:p>
            <w:r>
              <w:t xml:space="preserve">Постановление Пленума Верховного Суда РФ от 04.06.2024 N 12 "О подготовке дела к судебному разбирательству в арбитражном суде"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4451" w:type="dxa"/>
            <w:vAlign w:val="center"/>
            <w:textDirection w:val="lrTb"/>
            <w:noWrap w:val="false"/>
          </w:tcPr>
          <w:p>
            <w:r>
              <w:t xml:space="preserve">Постановление Пленума ВАС РФ от 17.02</w:t>
            </w:r>
            <w:r>
              <w:t xml:space="preserve">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  <w:r/>
          </w:p>
        </w:tc>
      </w:tr>
    </w:tbl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3. Акторы </w:t>
      </w:r>
      <w:r>
        <w:rPr>
          <w:rFonts w:eastAsia="Times New Roman"/>
        </w:rPr>
      </w:r>
    </w:p>
    <w:tbl>
      <w:tblPr>
        <w:tblW w:w="144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2993"/>
        <w:gridCol w:w="11467"/>
      </w:tblGrid>
      <w:tr>
        <w:tblPrEx/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Бизнес-роль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Выполняемые действия/функция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  <w:trHeight w:val="445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Судья арбитражного суда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Принятие решений о назначении судебного заседания, определение даты и времени проведения, утверждение данных о СЗ/ПСЗ, определение необходимости ВКС и закрытого режима, определение круга участников, формулирование рекомендаций для участников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Помощник судьи арбитражного суда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Подбор даты и времени СЗ/ПСЗ, проверка доступности залов, выбор альтернативных вариантов залов СЗ/ПСЗ, указание продолжительности заседания, согласование изменений в данных о СЗ/ПСЗ с судьей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Канцелярия арбитражного суда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Направление определений о назначении судебного заседания участникам процесса, обеспечение документооборота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Секретарь судебного заседания арбитражного суда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Формирование отчетов о планируемых заседаниях в ИС суда, проверка доступности залов, выбор альтернативных залов, согласование с судьей</w:t>
            </w:r>
            <w:r>
              <w:rPr>
                <w:rFonts w:eastAsia="Times New Roman"/>
              </w:rPr>
            </w:r>
          </w:p>
        </w:tc>
      </w:tr>
    </w:tbl>
    <w:p>
      <w:pPr>
        <w:pStyle w:val="633"/>
      </w:pPr>
      <w:r>
        <w:t xml:space="preserve">* С указанием суда/инстанции/иного административного органа</w:t>
      </w:r>
      <w:r/>
    </w:p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4. Процессуальные документы и их шаблоны (образцы)</w:t>
      </w:r>
      <w:r>
        <w:rPr>
          <w:rFonts w:eastAsia="Times New Roman"/>
        </w:rPr>
      </w:r>
    </w:p>
    <w:p>
      <w:pPr>
        <w:pStyle w:val="625"/>
        <w:rPr>
          <w:rFonts w:eastAsia="Times New Roman"/>
        </w:rPr>
      </w:pPr>
      <w:r>
        <w:rPr>
          <w:rFonts w:eastAsia="Times New Roman"/>
        </w:rPr>
        <w:t xml:space="preserve">4.1 Документы рассмотрения (документы входящие от участников процесса</w:t>
      </w:r>
      <w:r>
        <w:rPr>
          <w:rFonts w:eastAsia="Times New Roman"/>
        </w:rPr>
      </w:r>
    </w:p>
    <w:p>
      <w:pPr>
        <w:pStyle w:val="639"/>
        <w:spacing w:before="49" w:after="49"/>
      </w:pPr>
      <w:r>
        <w:t xml:space="preserve">Не предусмотрены в рамках процесса.</w:t>
      </w:r>
      <w:r/>
    </w:p>
    <w:tbl>
      <w:tblPr>
        <w:tblW w:w="3926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92"/>
        <w:gridCol w:w="1525"/>
        <w:gridCol w:w="2330"/>
        <w:gridCol w:w="1798"/>
        <w:gridCol w:w="1292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№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Вид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Форма документа*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Образец**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</w:tr>
    </w:tbl>
    <w:p>
      <w:pPr>
        <w:pStyle w:val="633"/>
      </w:pPr>
      <w:r>
        <w:t xml:space="preserve">*</w:t>
      </w:r>
      <w:r>
        <w:rPr>
          <w:rStyle w:val="632"/>
        </w:rPr>
        <w:t xml:space="preserve"> </w:t>
      </w:r>
      <w:r>
        <w:t xml:space="preserve">Бумажный документ / электронный документ / электронный документ с ЭЦП / печатная форма (из ИС).</w:t>
      </w:r>
      <w:r/>
    </w:p>
    <w:p>
      <w:pPr>
        <w:pStyle w:val="633"/>
      </w:pPr>
      <w:r>
        <w:t xml:space="preserve">** Файл или ссылка на облако ДИТ. </w:t>
      </w:r>
      <w:r/>
    </w:p>
    <w:p>
      <w:pPr>
        <w:pStyle w:val="625"/>
        <w:rPr>
          <w:rFonts w:eastAsia="Times New Roman"/>
        </w:rPr>
      </w:pPr>
      <w:r>
        <w:rPr>
          <w:rFonts w:eastAsia="Times New Roman"/>
        </w:rPr>
        <w:t xml:space="preserve">4.2 Судебные акты</w:t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387"/>
        <w:gridCol w:w="1471"/>
        <w:gridCol w:w="1967"/>
        <w:gridCol w:w="3044"/>
        <w:gridCol w:w="1441"/>
        <w:gridCol w:w="1034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№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Вид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rPr>
                <w:rStyle w:val="632"/>
              </w:rPr>
              <w:t xml:space="preserve">Форма (протокольный/отдельный СА)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Style w:val="632"/>
                <w:rFonts w:eastAsia="Times New Roman"/>
              </w:rPr>
              <w:t xml:space="preserve">Обжалуется (да/нет)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Style w:val="632"/>
                <w:rFonts w:eastAsia="Times New Roman"/>
              </w:rPr>
              <w:t xml:space="preserve">Образец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Определение о назначении дела к судебному заседанию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Отдельный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5"/>
            </w:pPr>
            <w:r>
              <w:t xml:space="preserve">Нет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/>
            <w:hyperlink r:id="rId12" w:tooltip="https://cloud.dit.mos.ru/apps/ditdocuments/s/wYj6atoLqNyErfJ?fileId=289258614" w:history="1">
              <w:r>
                <w:rPr>
                  <w:rStyle w:val="638"/>
                </w:rPr>
                <w:t xml:space="preserve">Образец</w:t>
              </w:r>
            </w:hyperlink>
            <w:r>
              <w:t xml:space="preserve"> 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Определение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Определение о назначении предварительного судебного заседания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Отдельный 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5"/>
            </w:pPr>
            <w:r>
              <w:t xml:space="preserve">Нет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/>
            <w:hyperlink r:id="rId13" w:tooltip="https://cloud.dit.mos.ru/apps/ditdocuments/s/wYj6atoLqNyErfJ?fileId=289259608" w:history="1">
              <w:r>
                <w:rPr>
                  <w:rStyle w:val="638"/>
                </w:rPr>
                <w:t xml:space="preserve">Образец</w:t>
              </w:r>
            </w:hyperlink>
            <w:r/>
            <w:r/>
          </w:p>
        </w:tc>
      </w:tr>
    </w:tbl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5.  Процессуальные сроки</w:t>
      </w:r>
      <w:r>
        <w:rPr>
          <w:rFonts w:eastAsia="Times New Roman"/>
        </w:rPr>
      </w:r>
    </w:p>
    <w:p>
      <w:pPr>
        <w:pStyle w:val="633"/>
        <w:jc w:val="both"/>
      </w:pPr>
      <w:r>
        <w:t xml:space="preserve">Описываемый процесс не предусматривает конкретных процессуальных сроков</w:t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>
        <w:tblPrEx/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Шаг процесса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Описание процессуального действия, для которого установлен срок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(год, месяц, день)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Применимые нормы (по возможности)</w:t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 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</w:t>
            </w:r>
            <w:r>
              <w:rPr>
                <w:rFonts w:eastAsia="Times New Roman"/>
              </w:rPr>
            </w:r>
          </w:p>
        </w:tc>
      </w:tr>
    </w:tbl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6. Реестр справочников</w:t>
      </w:r>
      <w:r>
        <w:rPr>
          <w:rFonts w:eastAsia="Times New Roman"/>
        </w:rPr>
      </w:r>
    </w:p>
    <w:tbl>
      <w:tblPr>
        <w:tblW w:w="164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570"/>
        <w:gridCol w:w="2440"/>
        <w:gridCol w:w="2931"/>
        <w:gridCol w:w="2389"/>
        <w:gridCol w:w="8105"/>
      </w:tblGrid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Style w:val="632"/>
                <w:rFonts w:eastAsia="Times New Roman"/>
              </w:rPr>
              <w:t xml:space="preserve">Наименование справочника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Style w:val="632"/>
                <w:rFonts w:eastAsia="Times New Roman"/>
              </w:rPr>
              <w:t xml:space="preserve">Назначение справочника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Style w:val="632"/>
                <w:rFonts w:eastAsia="Times New Roman"/>
              </w:rPr>
              <w:t xml:space="preserve">Структура справочника</w:t>
            </w:r>
            <w:r>
              <w:rPr>
                <w:rStyle w:val="632"/>
                <w:rFonts w:eastAsia="Times New Roman"/>
              </w:rPr>
              <w:br/>
              <w:t xml:space="preserve">(при наличии)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  <w:b/>
                <w:bCs/>
              </w:rPr>
            </w:pPr>
            <w:r>
              <w:rPr>
                <w:rStyle w:val="632"/>
              </w:rPr>
              <w:t xml:space="preserve">Значения справочника</w:t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Арбитражные суды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Наименования и коды арбитражных судов Российской Федерации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1.1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4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1.6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Дальнейшие процессуальные действия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Дальнейшие процессуальные действия, выбираемые в судебном акте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1.6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5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1.8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Дополнительные характеристики лиц, участвующих в деле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Характеристики лиц, участвующих в деле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1.8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6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1.9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Категории иных участников арбитражного процесса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Категории иных участников арбитражного процесса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1.9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7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1.10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Категории лиц, участвующих в деле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Категории лиц, участвующих в деле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1.10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8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1.25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Процессуальные стадии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Процессуальные стадии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1.25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19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2.4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82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Залы судебных заседаний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6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Залы судебных заседаний, выбираемые в судебном акте, справочник АСгМ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969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см. страницу 2.4  (при нажатии на ссылку на справочник)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386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/>
            <w:hyperlink r:id="rId20" w:tooltip="https://cloud.dit.mos.ru/apps/ditdocuments/s/wYj6atoLqNyErfJ?fileId=289256339" w:history="1">
              <w:r>
                <w:rPr>
                  <w:rStyle w:val="638"/>
                  <w:rFonts w:eastAsia="Times New Roman"/>
                </w:rPr>
                <w:t xml:space="preserve">https://cloud.dit.mos.ru/apps/ditdocuments/s/wYj6atoLqNyErfJ?fileId=289256339</w:t>
              </w:r>
            </w:hyperlink>
            <w:r/>
            <w:r>
              <w:rPr>
                <w:rFonts w:eastAsia="Times New Roman"/>
              </w:rPr>
            </w:r>
          </w:p>
        </w:tc>
      </w:tr>
    </w:tbl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7. Межведомственное взаимодействие </w:t>
      </w:r>
      <w:r>
        <w:rPr>
          <w:rFonts w:eastAsia="Times New Roman"/>
        </w:rPr>
      </w:r>
    </w:p>
    <w:p>
      <w:pPr>
        <w:pStyle w:val="633"/>
      </w:pPr>
      <w:r>
        <w:t xml:space="preserve">В описываемом процессе не происходит межведомственного взаимодейстивия</w:t>
      </w:r>
      <w:r/>
    </w:p>
    <w:tbl>
      <w:tblPr>
        <w:tblW w:w="1671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>
        <w:tblPrEx/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Ведомство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Вид взаимодействия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  <w:rPr>
                <w:b/>
                <w:bCs/>
              </w:rPr>
            </w:pPr>
            <w:r>
              <w:rPr>
                <w:b/>
                <w:bCs/>
              </w:rPr>
              <w:t xml:space="preserve">Суть взаимодействия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633"/>
            </w:pPr>
            <w:r>
              <w:t xml:space="preserve">-</w:t>
            </w:r>
            <w:r/>
          </w:p>
        </w:tc>
      </w:tr>
    </w:tbl>
    <w:p>
      <w:pPr>
        <w:pStyle w:val="624"/>
        <w:rPr>
          <w:rFonts w:eastAsia="Times New Roman"/>
        </w:rPr>
      </w:pPr>
      <w:r>
        <w:rPr>
          <w:rFonts w:eastAsia="Times New Roman"/>
        </w:rPr>
        <w:t xml:space="preserve">8. AS IS</w:t>
      </w:r>
      <w:r>
        <w:rPr>
          <w:rFonts w:eastAsia="Times New Roman"/>
        </w:rPr>
      </w:r>
    </w:p>
    <w:p>
      <w:pPr>
        <w:pStyle w:val="625"/>
        <w:rPr>
          <w:rFonts w:eastAsia="Times New Roman"/>
        </w:rPr>
      </w:pPr>
      <w:r>
        <w:rPr>
          <w:rFonts w:eastAsia="Times New Roman"/>
        </w:rPr>
        <w:t xml:space="preserve">8.1 Схема процесса </w:t>
      </w:r>
      <w:r>
        <w:rPr>
          <w:rFonts w:eastAsia="Times New Roman"/>
        </w:rPr>
      </w:r>
    </w:p>
    <w:p>
      <w:pPr>
        <w:pStyle w:val="633"/>
      </w:pPr>
      <w:r>
        <w:t xml:space="preserve">BPMN-файл: TBP44_naznachit_SZ_asis.bpmn</w:t>
      </w:r>
      <w:r/>
    </w:p>
    <w:p>
      <w:pPr>
        <w:pStyle w:val="625"/>
        <w:rPr>
          <w:rFonts w:eastAsia="Times New Roman"/>
        </w:rPr>
      </w:pPr>
      <w:r>
        <w:rPr>
          <w:rFonts w:eastAsia="Times New Roman"/>
        </w:rPr>
        <w:t xml:space="preserve">8.2 Описание схемы</w:t>
      </w:r>
      <w:r>
        <w:rPr>
          <w:rFonts w:eastAsia="Times New Roman"/>
        </w:rPr>
      </w:r>
    </w:p>
    <w:p>
      <w:pPr>
        <w:pStyle w:val="624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21" w:tooltip="https://itpm-wiki.mos.ru/pages/viewpage.action?pageId=533161398" w:history="1">
        <w:r>
          <w:rPr>
            <w:rStyle w:val="638"/>
            <w:rFonts w:eastAsia="Times New Roman"/>
            <w:b w:val="0"/>
            <w:bCs w:val="0"/>
            <w:sz w:val="24"/>
            <w:szCs w:val="24"/>
          </w:rPr>
          <w:t xml:space="preserve">https://itpm-wiki.mos.ru/pages/viewpage.action?pageId=533161398</w:t>
        </w:r>
      </w:hyperlink>
      <w:r/>
      <w:r>
        <w:rPr>
          <w:b w:val="0"/>
          <w:bCs w:val="0"/>
          <w:sz w:val="24"/>
          <w:szCs w:val="24"/>
        </w:rPr>
      </w:r>
    </w:p>
    <w:tbl>
      <w:tblPr>
        <w:tblW w:w="4376" w:type="pct"/>
        <w:tblLayout w:type="fixed"/>
        <w:tblCellMar>
          <w:left w:w="75" w:type="dxa"/>
          <w:top w:w="75" w:type="dxa"/>
          <w:right w:w="75" w:type="dxa"/>
          <w:bottom w:w="75" w:type="dxa"/>
        </w:tblCellMar>
        <w:tblLook w:val="04A0" w:firstRow="1" w:lastRow="0" w:firstColumn="1" w:lastColumn="0" w:noHBand="0" w:noVBand="1"/>
      </w:tblPr>
      <w:tblGrid>
        <w:gridCol w:w="818"/>
        <w:gridCol w:w="992"/>
        <w:gridCol w:w="1253"/>
        <w:gridCol w:w="1312"/>
        <w:gridCol w:w="1874"/>
        <w:gridCol w:w="1929"/>
      </w:tblGrid>
      <w:tr>
        <w:tblPrEx/>
        <w:trPr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Номер действия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Роль </w:t>
            </w:r>
            <w:r>
              <w:rPr>
                <w:b/>
                <w:bCs/>
                <w:i/>
                <w:iCs/>
              </w:rPr>
              <w:t xml:space="preserve">(актор на конкретном шаге, в т.ч. Система)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Входящие материалы </w:t>
            </w:r>
            <w:r>
              <w:rPr>
                <w:b/>
                <w:bCs/>
                <w:i/>
                <w:iCs/>
              </w:rPr>
              <w:t xml:space="preserve">(объект/данные, инициирующие шаги)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Исходящие материалы </w:t>
            </w:r>
            <w:r>
              <w:rPr>
                <w:b/>
                <w:bCs/>
                <w:i/>
                <w:iCs/>
              </w:rPr>
              <w:t xml:space="preserve">(объект, являющийся результатом действия)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Наименование шага процесса</w:t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 шага процесса</w:t>
            </w:r>
            <w:r>
              <w:rPr>
                <w:b/>
                <w:bCs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/>
            <w:r>
              <w:t xml:space="preserve">В результате завершения этапа подготовки дела/в ходе рассмотрения дела судье необходимо назначить судебное заседание/предварительное судебное заседание (далее - "СЗ" и "ПСЗ")</w:t>
            </w:r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Судья инициирует процесс назначения судебного заседания (далее - «СЗ»)/предварительного судебного заседания (далее - «ПСЗ»)</w:t>
            </w:r>
            <w:r>
              <w:t xml:space="preserve">.</w:t>
            </w:r>
            <w:r>
              <w:br/>
            </w:r>
            <w:r>
              <w:t xml:space="preserve">Процесс назначения СЗ/ПСЗ необходим для:</w:t>
            </w:r>
            <w:r>
              <w:br/>
              <w:t xml:space="preserve">1</w:t>
            </w:r>
            <w:r>
              <w:t xml:space="preserve">) Согласования и утверждения даты и времени проведения СЗ/ПСЗ;</w:t>
            </w:r>
            <w:r>
              <w:br/>
            </w:r>
            <w:r>
              <w:t xml:space="preserve">2) Решения вопроса о проведении СЗ/ПСЗ с использованием ВКС;</w:t>
            </w:r>
            <w:r>
              <w:br/>
            </w:r>
            <w:r>
              <w:t xml:space="preserve">3) Определения типа СЗ/ПСЗ: открытое или закрытое;</w:t>
            </w:r>
            <w:r>
              <w:br/>
            </w:r>
            <w:r>
              <w:t xml:space="preserve">4) Определения круга лиц для участия в СЗ/ПСЗ.</w:t>
            </w:r>
            <w:r/>
            <w:r/>
          </w:p>
          <w:p>
            <w:pPr>
              <w:pStyle w:val="639"/>
              <w:spacing w:after="49"/>
            </w:pPr>
            <w:r>
              <w:t xml:space="preserve">Назначение СЗ/ПСЗ р</w:t>
            </w:r>
            <w:r>
              <w:t xml:space="preserve">егулируется ст. 137 АПК РФ.</w:t>
            </w:r>
            <w:r/>
            <w:r/>
          </w:p>
        </w:tc>
      </w:tr>
      <w:tr>
        <w:tblPrEx/>
        <w:trPr>
          <w:cantSplit/>
          <w:trHeight w:val="430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ТБП5.Проверить срок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22" w:tooltip="https://itpm-wiki.mos.ru/pages/viewpage.action?pageId=487496831" w:history="1">
              <w:r>
                <w:rPr>
                  <w:rStyle w:val="638"/>
                  <w:color w:val="0000ee"/>
                </w:rPr>
                <w:t xml:space="preserve">ТБП5.Проверить срок</w:t>
              </w:r>
            </w:hyperlink>
            <w:r/>
            <w:r>
              <w:rPr>
                <w:rFonts w:eastAsia="Times New Roman"/>
              </w:rPr>
            </w:r>
          </w:p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рамках данного ТБП судья рассчитывает срок рассмотрения дела и период, возможный для отложения/назначения СЗ/ПСЗ.</w:t>
            </w:r>
            <w:r>
              <w:rPr>
                <w:rFonts w:eastAsia="Times New Roman"/>
              </w:rPr>
            </w:r>
          </w:p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  <w:trHeight w:val="1410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/>
            <w:r>
              <w:t xml:space="preserve">Определить, проводится назначение в ходе СЗ/ПСЗ или вне СЗ/ПСЗ</w:t>
            </w:r>
            <w:r/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t xml:space="preserve">Судья может инициировать назначение непосредственно находясь в зале СЗ/ПСЗ. Если судья на момент осуществления процесса находится не в СЗ/ПСЗ, он даст поручение помощнику о подборе зала СЗ/ПСЗ на обозначенную дату.</w:t>
            </w:r>
            <w:r>
              <w:t xml:space="preserve"> </w:t>
            </w:r>
            <w:r/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Судья находится в СЗ/ПСЗ?</w:t>
            </w:r>
            <w:r/>
          </w:p>
          <w:p>
            <w:pPr>
              <w:pStyle w:val="639"/>
              <w:spacing w:before="49"/>
            </w:pPr>
            <w:r>
              <w:t xml:space="preserve">Развилка «ИЛИ/ИЛИ».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/>
            <w:r>
              <w:t xml:space="preserve">Судья находится в СЗ/ПСЗ?</w:t>
            </w:r>
            <w:r>
              <w:br/>
            </w:r>
            <w:r>
              <w:t xml:space="preserve">Если «Да» - переход к шагу 21;</w:t>
            </w:r>
            <w:r>
              <w:br/>
            </w:r>
            <w:r>
              <w:t xml:space="preserve">Если «Нет» - переход к шагу 4.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  <w:r/>
            <w:r/>
            <w:r/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/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/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Сходящаяся развилка.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На данном шаге сходятся две альтернативные ветви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Сообщить желаемую дату СЗ/ПСЗ помощнику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определяет и сообщает помощнику судьи желаемые дату и время проведения СЗ/ПСЗ.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6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Определить способ назначения даты и </w:t>
            </w:r>
            <w:r>
              <w:t xml:space="preserve">времени СЗ</w:t>
            </w:r>
            <w:r>
              <w:t xml:space="preserve">/ПСЗ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определяет дальнейший способ выбора и назначения даты и времени СЗ/ПСЗ — с использованием автоматизации системы или нет.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Воспользоваться автоматическим выбором даты и времени?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ИС суда может самостоятельно предложить пользователю свободные подходящие залы в соответствии с введенной (планируемой) датой. Помощник судьи определяет способ выбора даты и времени СЗ/ПСЗ — через систему в автоматическом режиме или самостоятельно.</w:t>
            </w:r>
            <w:r>
              <w:t xml:space="preserve"> </w:t>
            </w:r>
            <w:r>
              <w:t xml:space="preserve">Воспользоваться автоматическим выбором даты и времени?</w:t>
            </w:r>
            <w:r>
              <w:br/>
            </w:r>
            <w:r>
              <w:t xml:space="preserve">Если «Да» - переход к шагу 8,</w:t>
            </w:r>
            <w:r>
              <w:br/>
            </w:r>
            <w:r>
              <w:t xml:space="preserve">Если «Нет» - переход к шагу 11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Подобрать место и </w:t>
            </w:r>
            <w:r>
              <w:t xml:space="preserve">время СЗ</w:t>
            </w:r>
            <w:r>
              <w:t xml:space="preserve">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инициирует автоматический выбор системой подходящего места и времени СЗ/ПСЗ в соответствии с планируемой датой и графиком заседаний (занятости залов).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Вывести данные </w:t>
            </w:r>
            <w:r>
              <w:t xml:space="preserve">о всех</w:t>
            </w:r>
            <w:r>
              <w:t xml:space="preserve"> свободных слотах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Система предоставляет информацию о всех доступных временных слотах и залах по запросу пользователя.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Выбрать слот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выбирает оптимальный временной слот из предложенных системой вариантов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Указать дату, время и </w:t>
            </w:r>
            <w:r>
              <w:t xml:space="preserve">продолжительность СЗ</w:t>
            </w:r>
            <w:r>
              <w:t xml:space="preserve">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определяет дату и время, а также продолжительность СЗ/ПСЗ исходя из сложности дела и заносит данные в систему.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Проверить, свободен ли зал в данную дату и время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проверяет доступность судебного зала в указанное время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Зал свободен?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Помощник судьи проверяет в интерфейсе системы доступность зала в соответствии с заданными параметрами.</w:t>
            </w:r>
            <w:r>
              <w:t xml:space="preserve"> </w:t>
            </w:r>
            <w:r>
              <w:t xml:space="preserve">Зал свободен?</w:t>
            </w:r>
            <w:r>
              <w:br/>
            </w:r>
            <w:r>
              <w:t xml:space="preserve">Если «Да» - переход к шагу 19;</w:t>
            </w:r>
            <w:r>
              <w:br/>
            </w:r>
            <w:r>
              <w:t xml:space="preserve">Если «Нет» - переход к шагу 14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Необходимо посмотреть другие залы?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Если нужный зал занят в заданную дату и время, у помощника есть опция посмотреть занятость других залов.</w:t>
            </w:r>
            <w:r>
              <w:t xml:space="preserve"> </w:t>
            </w:r>
            <w:r>
              <w:t xml:space="preserve">Необходимо посмотреть другие залы?</w:t>
            </w:r>
            <w:r>
              <w:br/>
            </w:r>
            <w:r>
              <w:t xml:space="preserve">Если «Да» - переход к шагу 15,</w:t>
            </w:r>
            <w:r>
              <w:br/>
            </w:r>
            <w:r>
              <w:t xml:space="preserve">Если «Нет» - переход к шагу 17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Выбрать другой зал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 ищет информацию о других незанятых залах в интерфейсе системы.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Есть возможность назначить в другом зале?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Помощник определяет наличие иных залов, не занятых на момент установленной даты и времени.</w:t>
            </w:r>
            <w:r>
              <w:t xml:space="preserve"> </w:t>
            </w:r>
            <w:r>
              <w:t xml:space="preserve">Есть возможность назначить в другом зале?</w:t>
            </w:r>
            <w:r>
              <w:t xml:space="preserve"> </w:t>
            </w:r>
            <w:r>
              <w:br/>
            </w:r>
            <w:r>
              <w:t xml:space="preserve">Если «Да» - переход к шагу 19,</w:t>
            </w:r>
            <w:r>
              <w:br/>
            </w:r>
            <w:r>
              <w:t xml:space="preserve">Если «Нет» - переход к шагу 17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14 и 16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Согласовать новую дату и время с судьей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Если нет возможности назначить СЗ/ПСЗ на оговоренную дату и время ввиду занятости залов, помощник судьи инициирует согласование новой даты и времени с судьей.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19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10 и 13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Сохранить в проекте СА данные о  СЗ/ПСЗ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Система сохраняет информацию о назначенном СЗ/ПСЗ (дату, время, место проведения) в проекте судебного акта.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21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3 и 30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Определить дату и время проведения СЗ/ПСЗ в соответствии с графиком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самостоятельно определяет дату и время проведения СЗ/ПСЗ согласно своему графику.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23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Секретарь СЗ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22 и 28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Секретарь 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Отчет-график СЗ/ПСЗ по залам</w:t>
            </w:r>
            <w:r/>
          </w:p>
          <w:p>
            <w:pPr>
              <w:pStyle w:val="639"/>
            </w:pPr>
            <w:r>
              <w:t xml:space="preserve">Отчет-график СЗ/ПСЗ по судьям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ТБП2.Сформировать отчет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Вызов </w:t>
            </w:r>
            <w:hyperlink r:id="rId23" w:tooltip="https://itpm-wiki.mos.ru/pages/viewpage.action?pageId=487496827" w:history="1">
              <w:r>
                <w:rPr>
                  <w:rStyle w:val="638"/>
                  <w:color w:val="0000ee"/>
                </w:rPr>
                <w:t xml:space="preserve">ТБП2.Сформировать отчет</w:t>
              </w:r>
            </w:hyperlink>
            <w:r>
              <w:t xml:space="preserve">. В рамках данного процесса секретарь СЗ формирует в ИС суда отчет с данными из графика судебных заседаний по залам и по судьям, в частности для последующей проверки доступности зала в выбранную дату и время.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Секретарь 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Проверить, свободен ли зал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Секретарь СЗ проверяет доступность назначенного зала в указанную дату и время.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Секретарь 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Зал свободен?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Проверка секретарем СЗ доступности зала.</w:t>
            </w:r>
            <w:r>
              <w:t xml:space="preserve"> </w:t>
            </w:r>
            <w:r>
              <w:t xml:space="preserve">Зал свободен?</w:t>
            </w:r>
            <w:r>
              <w:t xml:space="preserve"> </w:t>
            </w:r>
            <w:r>
              <w:br/>
            </w:r>
            <w:r>
              <w:t xml:space="preserve">Если «Да» - переход к шагу 29,</w:t>
            </w:r>
            <w:r>
              <w:br/>
            </w:r>
            <w:r>
              <w:t xml:space="preserve">Если «Нет» - переход к шагу 27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Выбрать другой зал? 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Если нужный зал занят в заданную дату и время, у судьи есть опция посмотреть занятость других залов в соответствии с физическим графиком судебных заседаний (как правило, в личном календаре).</w:t>
            </w:r>
            <w:r>
              <w:t xml:space="preserve"> </w:t>
            </w:r>
            <w:r>
              <w:t xml:space="preserve">Выбрать другой зал?</w:t>
            </w:r>
            <w:r>
              <w:br/>
            </w:r>
            <w:r>
              <w:t xml:space="preserve">Если «Да» - переход к шагу 28,</w:t>
            </w:r>
            <w:r>
              <w:br/>
            </w:r>
            <w:r>
              <w:t xml:space="preserve">Если «Нет» - переход к шагу 21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Выбрать зал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выбирает зал, опираясь на свой личный календарь.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29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Узнать мнение сторон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выясняет мнение сторон по делу о предлагаемых дате и времени назначаемого СЗ/ПСЗ (находясь непосредственно на судебном заседании).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Есть возражения?</w:t>
            </w:r>
            <w:r>
              <w:br/>
            </w: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Если от сторон поступили возражения касательно даты и времени назначаемого СЗ/ПСЗ, то «Да» - переход к шагу 21</w:t>
            </w:r>
            <w:r>
              <w:t xml:space="preserve">, </w:t>
            </w:r>
            <w:r>
              <w:t xml:space="preserve">если «Нет» - переход к шагу 31.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Утвердить выбранную дату и время  СЗ/ПСЗ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окончательно утверждает дату, время и место проведения СЗ/ПСЗ 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20 и 31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33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Определить форму проведения  СЗ/ПСЗ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 форму проведения СЗ/ПСЗ.</w:t>
            </w:r>
            <w:r>
              <w:rPr>
                <w:rFonts w:eastAsia="Times New Roman"/>
              </w:rPr>
            </w:r>
          </w:p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Таковыми, в частности, могут быть:</w:t>
            </w:r>
            <w:r>
              <w:rPr>
                <w:rFonts w:eastAsia="Times New Roman"/>
              </w:rPr>
            </w:r>
          </w:p>
          <w:p>
            <w:pPr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СЗ с использованием ВКС/онлайн;</w:t>
            </w:r>
            <w:r>
              <w:rPr>
                <w:rFonts w:eastAsia="Times New Roman"/>
              </w:rPr>
            </w:r>
          </w:p>
          <w:p>
            <w:pPr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Закрытое/открытое СЗ.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Требуется провести СЗ/ПСЗ с использованием средств ВКС?</w:t>
            </w:r>
            <w:r/>
          </w:p>
          <w:p>
            <w:pPr>
              <w:pStyle w:val="639"/>
              <w:spacing w:before="49" w:after="49"/>
            </w:pPr>
            <w:r/>
            <w:r/>
          </w:p>
          <w:p>
            <w:pPr>
              <w:pStyle w:val="639"/>
              <w:spacing w:before="49"/>
            </w:pPr>
            <w:r>
              <w:t xml:space="preserve">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Лица, участвующие в деле, и иные участники арбитражного процесса могут учас</w:t>
            </w:r>
            <w:r>
              <w:t xml:space="preserve">твовать в судебном заседании путем использования систем видеоконференц-связи при условии заявления ими ходатайства об этом и при наличии в арбитражных судах технической возможности осуществления видеоконференц-связи (далее - «ВКС») (ч. 1 ст. 153.1 АПК РФ).</w:t>
            </w:r>
            <w:r>
              <w:br/>
            </w:r>
            <w:r>
              <w:t xml:space="preserve">Если «Да» - переход к шагу 35,</w:t>
            </w:r>
            <w:r>
              <w:br/>
            </w:r>
            <w:r>
              <w:t xml:space="preserve">Если «Нет» - переход к шагу 36.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ТБП51.Организовать ВКС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Вызов </w:t>
            </w:r>
            <w:hyperlink r:id="rId24" w:tooltip="https://itpm-wiki.mos.ru/pages/viewpage.action?pageId=487496906" w:history="1">
              <w:r>
                <w:rPr>
                  <w:rStyle w:val="638"/>
                  <w:color w:val="0000ee"/>
                </w:rPr>
                <w:t xml:space="preserve">ТБП51.Организовать ВКС</w:t>
              </w:r>
            </w:hyperlink>
            <w:r>
              <w:rPr>
                <w:color w:val="0000ee"/>
                <w:u w:val="single"/>
              </w:rPr>
              <w:t xml:space="preserve">.</w:t>
            </w:r>
            <w:r>
              <w:rPr>
                <w:rFonts w:ascii="Calibri" w:hAnsi="Calibri" w:cs="Calibri"/>
                <w:color w:val="0000ee"/>
                <w:sz w:val="22"/>
                <w:szCs w:val="22"/>
                <w:u w:val="single"/>
              </w:rPr>
              <w:t xml:space="preserve"> </w:t>
            </w:r>
            <w:r>
              <w:t xml:space="preserve">В</w:t>
            </w:r>
            <w:r>
              <w:t xml:space="preserve"> рамках данного процесса определяется суд, который будет способствовать проведению СЗ/ПСЗ с использованием средств ВКС, происходит процесс согласования даты и обмена необходимой информацией с данным судом и иные подготовительные действия по проведению ВКС.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Помощник судьи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34 и 35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Необходимо назначить закрытое СЗ/ПСЗ?Эксклюзивный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Разбирательство дела в закрытом СЗ/ПСЗ допускается в случаях, если открытое разбирательство дела может привести к разглашению государ</w:t>
            </w:r>
            <w:r>
              <w:t xml:space="preserve">ственной тайны, в иных случаях, предусмотренных федеральным законом, а также при удовлетворении ходатайства лица, участвующего в деле и ссылающегося на необходимость сохранения коммерческой, служебной или иной охраняемой законом тайны (ч. 2 ст. 11 АПК РФ).</w:t>
            </w:r>
            <w:r>
              <w:br/>
            </w:r>
            <w:r>
              <w:t xml:space="preserve">О разбирательстве дела в закрытом судебном заседании выносится определение. Определение выносится в отношении всего судебного разбирательства или его части (ч. 4 ст. 11 АПК РФ).</w:t>
            </w:r>
            <w:r>
              <w:t xml:space="preserve"> </w:t>
            </w:r>
            <w:r>
              <w:t xml:space="preserve">Необходимо назначить закрытое СЗ/ПСЗ?</w:t>
            </w:r>
            <w:r>
              <w:rPr>
                <w:lang w:val="en-US"/>
              </w:rPr>
              <w:br/>
            </w:r>
            <w:r>
              <w:t xml:space="preserve">Если «Да» - переход к шагу 40,</w:t>
            </w:r>
            <w:r>
              <w:br/>
            </w:r>
            <w:r>
              <w:t xml:space="preserve">Если «Нет» - переход к шагу 42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Указать ограничения в связи с </w:t>
            </w:r>
            <w:r>
              <w:t xml:space="preserve">закрытым СЗ</w:t>
            </w:r>
            <w:r>
              <w:t xml:space="preserve">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указывает ограничения, связанные с проведением закрытого заседания. У</w:t>
            </w:r>
            <w:r>
              <w:t xml:space="preserve">казание на ограничения может быть в протоколе, в проекте судебного акта (далее - «СА»), предупреждение об ограничениях устно ЛУВД в СЗ/ПСЗ (если процесс в СЗ). Такими ограничениями, в частности, является запрет на использование средств аудиозаписи, систем </w:t>
            </w:r>
            <w:r>
              <w:t xml:space="preserve">видеоконференцсвязи</w:t>
            </w:r>
            <w:r>
              <w:t xml:space="preserve"> и системы веб-конференции.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39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37 и 38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Определить круг лиц для участия </w:t>
            </w:r>
            <w:r>
              <w:t xml:space="preserve">в СЗ</w:t>
            </w:r>
            <w:r>
              <w:t xml:space="preserve">/ПСЗ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определяет круг лиц, которые будут участвовать в СЗ/ПСЗ (в зависимости от обстоятельств дела могут участвовать: истец, ответчик, представители, третьи лица (заявляющие/не заявляющие требования), прокурор, специалист, свидетель, переводчик).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Необходимо назначить собеседование?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r>
              <w:rPr>
                <w:rFonts w:eastAsia="Times New Roman"/>
              </w:rPr>
              <w:t xml:space="preserve">Собеседование в рамках подготовки дела к рассмотрению — это процессуальное действие арбитражного суда, направленное на уточнение позиций сторон, определение обстоятельств спора и организацию дальнейшего судебного разбирательства.</w:t>
            </w:r>
            <w:r>
              <w:rPr>
                <w:rFonts w:eastAsia="Times New Roman"/>
              </w:rPr>
              <w:t xml:space="preserve"> Судья решает, необходимо ли назначение собеседования для рассмотрения дела. </w:t>
            </w:r>
            <w:r>
              <w:t xml:space="preserve"> </w:t>
            </w:r>
            <w:r/>
          </w:p>
          <w:p>
            <w:pPr>
              <w:rPr>
                <w:rFonts w:eastAsia="Times New Roman"/>
              </w:rPr>
            </w:pPr>
            <w:r>
              <w:t xml:space="preserve">Если «Да» - переход к шагу 4</w:t>
            </w:r>
            <w:r>
              <w:t xml:space="preserve">2</w:t>
            </w:r>
            <w:r>
              <w:t xml:space="preserve">,</w:t>
            </w:r>
            <w:r>
              <w:br/>
            </w:r>
            <w:r>
              <w:t xml:space="preserve">Если «Нет» - переход к шагу 4</w:t>
            </w:r>
            <w:r>
              <w:t xml:space="preserve">3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Определить дату и время собеседования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 соответствии с требованиями главы 14 АПК РФ, при необходимости проведения собеседования со сторонами в рамках подготовки дела к рассмотрению, определяет в определении о назначении СЗ/ПСЗ дату и время проведения собеседования по делу.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t xml:space="preserve">Закрывающий шлюз для шаг</w:t>
            </w:r>
            <w:r>
              <w:t xml:space="preserve">а 41 процесса.</w:t>
            </w:r>
            <w:r>
              <w:rPr>
                <w:rFonts w:eastAsia="Times New Roman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Указать необходимые рекомендации для сторон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передает рекомендации по совершению процессуальных действий/подготовительных действий для участников судебного заседания, указывая об этом в проекте определения.</w:t>
            </w:r>
            <w:r/>
          </w:p>
        </w:tc>
      </w:tr>
      <w:tr>
        <w:tblPrEx/>
        <w:trPr>
          <w:cantSplit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5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 Определить необходимость отдельного СА</w:t>
            </w:r>
            <w:r/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 принимает решение о необходимости вынесения отдельного судебного акта — определения о назначении СЗ/ПСЗ. Если необходимость отсутствует, данные о СЗ/ПСЗ будут занесены в уже существующий 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  <w:rPr>
                <w:lang w:val="en-US"/>
              </w:rPr>
            </w:pPr>
            <w:r>
              <w:t xml:space="preserve">Необходимо вынести отдельный СА?</w:t>
            </w:r>
            <w:r>
              <w:rPr>
                <w:lang w:val="en-US"/>
              </w:rPr>
              <w:br/>
            </w:r>
            <w:r>
              <w:t xml:space="preserve">Эксклюзивный шлюз.</w:t>
            </w:r>
            <w:r>
              <w:rPr>
                <w:lang w:val="en-US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before="49" w:after="49"/>
            </w:pPr>
            <w:r>
              <w:t xml:space="preserve">Необходимо вынести отдельный СА?</w:t>
            </w:r>
            <w:r>
              <w:rPr>
                <w:lang w:val="en-US"/>
              </w:rPr>
              <w:br/>
            </w:r>
            <w:r>
              <w:t xml:space="preserve">Если «Да» - переход к шагу 4</w:t>
            </w:r>
            <w:r>
              <w:t xml:space="preserve">8</w:t>
            </w:r>
            <w:r>
              <w:t xml:space="preserve">,</w:t>
            </w:r>
            <w:r>
              <w:br/>
            </w:r>
            <w:r>
              <w:t xml:space="preserve">Если «Нет» - переход к шагу 4</w:t>
            </w:r>
            <w:r>
              <w:t xml:space="preserve">7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Завершающее событие.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СЗ/ПСЗ назначено. Дата, место и время проведения СЗ/ПСЗ указываются в ином СА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назначении ПСЗ/Определение о назначении дела к СЗ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ТБП80.Принять СА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Вызов </w:t>
            </w:r>
            <w:hyperlink r:id="rId25" w:tooltip="https://itpm-wiki.mos.ru/pages/viewpage.action?pageId=487497481" w:history="1">
              <w:r>
                <w:rPr>
                  <w:rStyle w:val="638"/>
                  <w:color w:val="0000ee"/>
                </w:rPr>
                <w:t xml:space="preserve">ТБП80.Принять СА</w:t>
              </w:r>
            </w:hyperlink>
            <w:r>
              <w:t xml:space="preserve">.</w:t>
            </w:r>
            <w:r>
              <w:t xml:space="preserve"> В рамках данного процесса судья формирует и подписывает определение о назначении предварительного судебного заседания или Определение о назначении дела к СЗ в зависимости от решения судьи. Также в рамках процесса происходит публикация суд</w:t>
            </w:r>
            <w:r>
              <w:t xml:space="preserve">ебного акта. В определении о назначении дела к судебному разбирательству указывается на окончание подготовки дела к судебному разбирательству и разрешение вопросов о привлечении к делу третьих лиц, принятие встречного иска, соединение или разъединение неск</w:t>
            </w:r>
            <w:r>
              <w:t xml:space="preserve">ольких требований, привлечение арбитражных заседателей, а также на разрешение других вопросов, если по ним не были вынесены соответствующие определения, время и место проведения судебного заседания в арбитражном суде первой инстанции (ч. 2 ст. 137 АПК РФ).</w:t>
            </w:r>
            <w:r/>
          </w:p>
          <w:p>
            <w:pPr>
              <w:pStyle w:val="639"/>
              <w:spacing w:before="49"/>
            </w:pPr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4</w:t>
            </w:r>
            <w: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Требуется извещение иностранного </w:t>
            </w:r>
            <w:r>
              <w:t xml:space="preserve">лица? Эксклюзивный</w:t>
            </w:r>
            <w:r>
              <w:t xml:space="preserve">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Судья решает вопрос о необходимости извещения иностранных участников. </w:t>
            </w:r>
            <w:r>
              <w:t xml:space="preserve">Требуется извещение иностранного лица?</w:t>
            </w:r>
            <w:r>
              <w:t xml:space="preserve"> </w:t>
            </w:r>
            <w:r>
              <w:br/>
            </w:r>
            <w:r>
              <w:t xml:space="preserve">Если «Да» - переход к шагу </w:t>
            </w:r>
            <w:r>
              <w:t xml:space="preserve">50</w:t>
            </w:r>
            <w:r>
              <w:t xml:space="preserve">,</w:t>
            </w:r>
            <w:r>
              <w:br/>
            </w:r>
            <w:r>
              <w:t xml:space="preserve">Если «Нет» - переход к шагу </w:t>
            </w:r>
            <w:r>
              <w:t xml:space="preserve">51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50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ТБП124.Известить иностранное лицо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  <w:spacing w:after="49"/>
            </w:pPr>
            <w:r>
              <w:t xml:space="preserve">Вызов </w:t>
            </w:r>
            <w:hyperlink r:id="rId26" w:tooltip="https://itpm-wiki.mos.ru/pages/viewpage.action?pageId=487497757" w:history="1">
              <w:r>
                <w:rPr>
                  <w:rStyle w:val="638"/>
                  <w:color w:val="0000ee"/>
                </w:rPr>
                <w:t xml:space="preserve">ТБП124.Известить иностранное лицо</w:t>
              </w:r>
            </w:hyperlink>
            <w:r>
              <w:t xml:space="preserve"> </w:t>
            </w:r>
            <w:r>
              <w:br/>
            </w:r>
            <w:r>
              <w:t xml:space="preserve">В случаях, если иностранные лица, участвующие в деле, рассматриваемом арбитражным судом в РФ, находятся или проживают вне пределов РФ, такие лица извещаю</w:t>
            </w:r>
            <w:r>
              <w:t xml:space="preserve">тся о судебном разбирательстве определением арбитражного суда путем направления поручения в учреждение юстиции или другой компетентный орган иностранного государства. В этих случаях срок рассмотрения дела продлевается арбитражным судом на срок, установленн</w:t>
            </w:r>
            <w:r>
              <w:t xml:space="preserve">ый договором о правовой помощи для направления поручений в учреждение юстиции или другой компетентный орган иностранного государства, а при отсутствии в договоре такого срока или при отсутствии указанного договора не более чем на год. (ч. 3 ст. 253 АПК РФ)</w:t>
            </w:r>
            <w:r>
              <w:t xml:space="preserve"> </w:t>
            </w:r>
            <w:r>
              <w:t xml:space="preserve">В рамках данного процесса происходит процесс извещения иностранного лица о назначенном СЗ путем направления поручения в орган иностранного государства.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51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Судья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Закрывающий шлюз для шагов 46 и 47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52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о назначении ПСЗ/Определение о назначении дела к СЗ</w:t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ТБП46.Направить документ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Вызов </w:t>
            </w:r>
            <w:hyperlink r:id="rId27" w:tooltip="https://itpm-wiki.mos.ru/pages/viewpage.action?pageId=487496896" w:history="1">
              <w:r>
                <w:rPr>
                  <w:rStyle w:val="638"/>
                  <w:color w:val="0000ee"/>
                </w:rPr>
                <w:t xml:space="preserve">ТБП46.Направить документ</w:t>
              </w:r>
            </w:hyperlink>
            <w:r>
              <w:t xml:space="preserve"> </w:t>
            </w:r>
            <w:r>
              <w:t xml:space="preserve">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53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832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Канцелярия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67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64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—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682" w:type="dxa"/>
            <w:vAlign w:val="center"/>
            <w:textDirection w:val="lrTb"/>
            <w:noWrap w:val="false"/>
          </w:tcPr>
          <w:p>
            <w:r>
              <w:t xml:space="preserve">СЗ/ПСЗ назначено. ЛУВД извещены о дате, времени и месте проведения СЗ/ПСЗ. </w:t>
            </w:r>
            <w:r>
              <w:t xml:space="preserve">Завершающее событие.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860" w:type="dxa"/>
            <w:vAlign w:val="center"/>
            <w:textDirection w:val="lrTb"/>
            <w:noWrap w:val="false"/>
          </w:tcPr>
          <w:p>
            <w:pPr>
              <w:pStyle w:val="639"/>
            </w:pPr>
            <w:r>
              <w:t xml:space="preserve">СЗ/ПСЗ назначено. ЛУВД извещены о дате, времени и месте проведения СЗ/ПСЗ.</w:t>
            </w:r>
            <w:r/>
          </w:p>
        </w:tc>
      </w:tr>
    </w:tbl>
    <w:p>
      <w:pPr>
        <w:pStyle w:val="637"/>
      </w:pPr>
      <w:r/>
      <w:r/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OpenSymbol">
    <w:panose1 w:val="05010000000000000000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num" w:pos="1080" w:leader="none"/>
        </w:tabs>
      </w:pPr>
      <w:rPr>
        <w:rFonts w:hint="default" w:ascii="OpenSymbol" w:hAnsi="OpenSymbol" w:cs="OpenSymbol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num" w:pos="1440" w:leader="none"/>
        </w:tabs>
      </w:pPr>
      <w:rPr>
        <w:rFonts w:hint="default" w:ascii="OpenSymbol" w:hAnsi="OpenSymbol" w:cs="OpenSymbol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num" w:pos="180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num" w:pos="2160" w:leader="none"/>
        </w:tabs>
      </w:pPr>
      <w:rPr>
        <w:rFonts w:hint="default" w:ascii="OpenSymbol" w:hAnsi="OpenSymbol" w:cs="OpenSymbol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num" w:pos="2520" w:leader="none"/>
        </w:tabs>
      </w:pPr>
      <w:rPr>
        <w:rFonts w:hint="default" w:ascii="OpenSymbol" w:hAnsi="OpenSymbol" w:cs="OpenSymbol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num" w:pos="3240" w:leader="none"/>
        </w:tabs>
      </w:pPr>
      <w:rPr>
        <w:rFonts w:hint="default" w:ascii="OpenSymbol" w:hAnsi="OpenSymbol" w:cs="OpenSymbol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num" w:pos="3600" w:leader="none"/>
        </w:tabs>
      </w:pPr>
      <w:rPr>
        <w:rFonts w:hint="default" w:ascii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6"/>
    <w:link w:val="62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6"/>
    <w:link w:val="624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6"/>
    <w:link w:val="625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2"/>
    <w:next w:val="622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2"/>
    <w:next w:val="62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2"/>
    <w:next w:val="62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2"/>
    <w:next w:val="62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2"/>
    <w:next w:val="62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2"/>
    <w:next w:val="62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2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2"/>
    <w:next w:val="62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2"/>
    <w:next w:val="62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2"/>
    <w:next w:val="62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2"/>
    <w:next w:val="62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2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2"/>
    <w:next w:val="6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2"/>
    <w:next w:val="62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2"/>
    <w:next w:val="62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2"/>
    <w:next w:val="62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2"/>
    <w:next w:val="62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2"/>
    <w:next w:val="62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2"/>
    <w:next w:val="62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2"/>
    <w:next w:val="62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2"/>
    <w:next w:val="62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2"/>
    <w:next w:val="62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2"/>
    <w:next w:val="622"/>
    <w:uiPriority w:val="99"/>
    <w:unhideWhenUsed/>
    <w:pPr>
      <w:spacing w:after="0" w:afterAutospacing="0"/>
    </w:pPr>
  </w:style>
  <w:style w:type="paragraph" w:styleId="622" w:default="1">
    <w:name w:val="Normal"/>
    <w:qFormat/>
    <w:rPr>
      <w:rFonts w:eastAsiaTheme="minorEastAsia"/>
      <w:sz w:val="24"/>
      <w:szCs w:val="24"/>
    </w:rPr>
  </w:style>
  <w:style w:type="paragraph" w:styleId="623">
    <w:name w:val="Heading 1"/>
    <w:basedOn w:val="622"/>
    <w:link w:val="630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624">
    <w:name w:val="Heading 2"/>
    <w:basedOn w:val="622"/>
    <w:link w:val="631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625">
    <w:name w:val="Heading 3"/>
    <w:basedOn w:val="622"/>
    <w:link w:val="634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626" w:default="1">
    <w:name w:val="Default Paragraph Font"/>
    <w:uiPriority w:val="1"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 w:customStyle="1">
    <w:name w:val="msonormal"/>
    <w:basedOn w:val="622"/>
    <w:pPr>
      <w:spacing w:before="100" w:beforeAutospacing="1" w:after="100" w:afterAutospacing="1"/>
    </w:pPr>
  </w:style>
  <w:style w:type="character" w:styleId="630" w:customStyle="1">
    <w:name w:val="Заголовок 1 Знак"/>
    <w:basedOn w:val="626"/>
    <w:link w:val="623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1" w:customStyle="1">
    <w:name w:val="Заголовок 2 Знак"/>
    <w:basedOn w:val="626"/>
    <w:link w:val="624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32">
    <w:name w:val="Strong"/>
    <w:basedOn w:val="626"/>
    <w:qFormat/>
    <w:rPr>
      <w:b/>
      <w:bCs/>
    </w:rPr>
  </w:style>
  <w:style w:type="paragraph" w:styleId="633">
    <w:name w:val="Normal (Web)"/>
    <w:basedOn w:val="622"/>
    <w:uiPriority w:val="99"/>
    <w:semiHidden/>
    <w:unhideWhenUsed/>
    <w:pPr>
      <w:spacing w:before="100" w:beforeAutospacing="1" w:after="100" w:afterAutospacing="1"/>
    </w:pPr>
  </w:style>
  <w:style w:type="character" w:styleId="634" w:customStyle="1">
    <w:name w:val="Заголовок 3 Знак"/>
    <w:basedOn w:val="626"/>
    <w:link w:val="625"/>
    <w:uiPriority w:val="9"/>
    <w:semiHidden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635" w:customStyle="1">
    <w:name w:val="auto-cursor-target"/>
    <w:basedOn w:val="622"/>
    <w:pPr>
      <w:spacing w:before="100" w:beforeAutospacing="1" w:after="100" w:afterAutospacing="1"/>
    </w:pPr>
  </w:style>
  <w:style w:type="character" w:styleId="636">
    <w:name w:val="Emphasis"/>
    <w:basedOn w:val="626"/>
    <w:uiPriority w:val="20"/>
    <w:qFormat/>
    <w:rPr>
      <w:i/>
      <w:iCs/>
    </w:rPr>
  </w:style>
  <w:style w:type="paragraph" w:styleId="637" w:customStyle="1">
    <w:name w:val="enh-settings"/>
    <w:basedOn w:val="622"/>
    <w:pPr>
      <w:spacing w:before="100" w:beforeAutospacing="1" w:after="100" w:afterAutospacing="1"/>
    </w:pPr>
  </w:style>
  <w:style w:type="character" w:styleId="638">
    <w:name w:val="Hyperlink"/>
    <w:basedOn w:val="626"/>
    <w:uiPriority w:val="99"/>
    <w:unhideWhenUsed/>
    <w:rPr>
      <w:color w:val="467886" w:themeColor="hyperlink"/>
      <w:u w:val="single"/>
    </w:rPr>
  </w:style>
  <w:style w:type="paragraph" w:styleId="639" w:customStyle="1">
    <w:name w:val="western"/>
    <w:basedOn w:val="622"/>
    <w:qFormat/>
    <w:pPr>
      <w:spacing w:beforeAutospacing="1" w:afterAutospacing="1"/>
    </w:pPr>
  </w:style>
  <w:style w:type="character" w:styleId="640">
    <w:name w:val="Unresolved Mention"/>
    <w:basedOn w:val="626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482562270" TargetMode="External"/><Relationship Id="rId10" Type="http://schemas.openxmlformats.org/officeDocument/2006/relationships/hyperlink" Target="https://itpm-wiki.mos.ru/pages/viewpage.action?pageId=482562353" TargetMode="External"/><Relationship Id="rId11" Type="http://schemas.openxmlformats.org/officeDocument/2006/relationships/hyperlink" Target="https://itpm-wiki.mos.ru/pages/viewpage.action?pageId=482562383" TargetMode="External"/><Relationship Id="rId12" Type="http://schemas.openxmlformats.org/officeDocument/2006/relationships/hyperlink" Target="https://cloud.dit.mos.ru/apps/ditdocuments/s/wYj6atoLqNyErfJ?fileId=289258614" TargetMode="External"/><Relationship Id="rId13" Type="http://schemas.openxmlformats.org/officeDocument/2006/relationships/hyperlink" Target="https://cloud.dit.mos.ru/apps/ditdocuments/s/wYj6atoLqNyErfJ?fileId=289259608" TargetMode="External"/><Relationship Id="rId14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cloud.dit.mos.ru/apps/ditdocuments/s/wYj6atoLqNyErfJ?fileId=289256339" TargetMode="External"/><Relationship Id="rId16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1" Type="http://schemas.openxmlformats.org/officeDocument/2006/relationships/hyperlink" Target="https://itpm-wiki.mos.ru/pages/viewpage.action?pageId=533161398" TargetMode="External"/><Relationship Id="rId22" Type="http://schemas.openxmlformats.org/officeDocument/2006/relationships/hyperlink" Target="https://itpm-wiki.mos.ru/pages/viewpage.action?pageId=487496831" TargetMode="External"/><Relationship Id="rId23" Type="http://schemas.openxmlformats.org/officeDocument/2006/relationships/hyperlink" Target="https://itpm-wiki.mos.ru/pages/viewpage.action?pageId=487496827" TargetMode="External"/><Relationship Id="rId24" Type="http://schemas.openxmlformats.org/officeDocument/2006/relationships/hyperlink" Target="https://itpm-wiki.mos.ru/pages/viewpage.action?pageId=487496906" TargetMode="External"/><Relationship Id="rId25" Type="http://schemas.openxmlformats.org/officeDocument/2006/relationships/hyperlink" Target="https://itpm-wiki.mos.ru/pages/viewpage.action?pageId=487497481" TargetMode="External"/><Relationship Id="rId26" Type="http://schemas.openxmlformats.org/officeDocument/2006/relationships/hyperlink" Target="https://itpm-wiki.mos.ru/pages/viewpage.action?pageId=487497757" TargetMode="External"/><Relationship Id="rId27" Type="http://schemas.openxmlformats.org/officeDocument/2006/relationships/hyperlink" Target="https://itpm-wiki.mos.ru/pages/viewpage.action?pageId=48749689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Настя Сотникова</cp:lastModifiedBy>
  <cp:revision>15</cp:revision>
  <dcterms:created xsi:type="dcterms:W3CDTF">2025-12-29T05:48:00Z</dcterms:created>
  <dcterms:modified xsi:type="dcterms:W3CDTF">2026-05-18T11:57:20Z</dcterms:modified>
</cp:coreProperties>
</file>