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621"/>
        <w:rPr>
          <w:rFonts w:eastAsia="Times New Roman"/>
        </w:rPr>
      </w:pPr>
      <w:r>
        <w:rPr>
          <w:rFonts w:eastAsia="Times New Roman"/>
        </w:rPr>
        <w:t xml:space="preserve">ТБП46 - Направить документ</w:t>
      </w:r>
      <w:r>
        <w:rPr>
          <w:rFonts w:eastAsia="Times New Roman"/>
        </w:rPr>
      </w:r>
    </w:p>
    <w:p>
      <w:pPr>
        <w:pStyle w:val="622"/>
        <w:rPr>
          <w:rFonts w:eastAsia="Times New Roman"/>
        </w:rPr>
      </w:pPr>
      <w:r>
        <w:rPr>
          <w:rFonts w:eastAsia="Times New Roman"/>
        </w:rPr>
        <w:t xml:space="preserve">1. Интервью </w:t>
      </w:r>
      <w:r>
        <w:rPr>
          <w:rFonts w:eastAsia="Times New Roman"/>
        </w:rPr>
      </w:r>
    </w:p>
    <w:p>
      <w:pPr>
        <w:rPr>
          <w:color w:val="0f4761" w:themeColor="accent1" w:themeShade="BF"/>
        </w:rPr>
      </w:pPr>
      <w:r>
        <w:t xml:space="preserve">Информация содержится в интервью:</w:t>
      </w:r>
      <w:r>
        <w:br/>
      </w:r>
      <w:hyperlink r:id="rId9" w:tooltip="https://itpm-wiki.mos.ru/pages/viewpage.action?pageId=553171783" w:history="1">
        <w:r>
          <w:rPr>
            <w:rStyle w:val="636"/>
            <w:color w:val="0f4761" w:themeColor="accent1" w:themeShade="BF"/>
          </w:rPr>
          <w:t xml:space="preserve">ВЗ3.ВЗ4.ВЗ5. Описание фиксации процессов работы по приказному производству</w:t>
        </w:r>
      </w:hyperlink>
      <w:r>
        <w:rPr>
          <w:color w:val="0f4761" w:themeColor="accent1" w:themeShade="BF"/>
        </w:rPr>
        <w:br/>
      </w:r>
      <w:hyperlink r:id="rId10" w:tooltip="https://itpm-wiki.mos.ru/pages/viewpage.action?pageId=482562242" w:history="1">
        <w:r>
          <w:rPr>
            <w:rStyle w:val="636"/>
            <w:color w:val="0f4761" w:themeColor="accent1" w:themeShade="BF"/>
          </w:rPr>
          <w:t xml:space="preserve">ОЛ1. Интервью судьи банкротного состава АСГМ</w:t>
        </w:r>
      </w:hyperlink>
      <w:r/>
      <w:r>
        <w:rPr>
          <w:color w:val="0f4761" w:themeColor="accent1" w:themeShade="BF"/>
        </w:rPr>
      </w:r>
    </w:p>
    <w:p>
      <w:pPr>
        <w:rPr>
          <w:color w:val="0f4761" w:themeColor="accent1" w:themeShade="BF"/>
        </w:rPr>
      </w:pPr>
      <w:r/>
      <w:hyperlink r:id="rId11" w:tooltip="https://itpm-wiki.mos.ru/pages/viewpage.action?pageId=482562270" w:history="1">
        <w:r>
          <w:rPr>
            <w:rStyle w:val="636"/>
            <w:color w:val="0f4761" w:themeColor="accent1" w:themeShade="BF"/>
          </w:rPr>
          <w:t xml:space="preserve">ОЛ2. Интервью судьи АСГМ</w:t>
        </w:r>
      </w:hyperlink>
      <w:r>
        <w:rPr>
          <w:color w:val="0f4761" w:themeColor="accent1" w:themeShade="BF"/>
        </w:rPr>
        <w:br/>
      </w:r>
      <w:hyperlink r:id="rId12" w:tooltip="https://itpm-wiki.mos.ru/pages/viewpage.action?pageId=482562297" w:history="1">
        <w:r>
          <w:rPr>
            <w:rStyle w:val="636"/>
            <w:color w:val="0f4761" w:themeColor="accent1" w:themeShade="BF"/>
          </w:rPr>
          <w:t xml:space="preserve">ОЛ3. Интервью судьи АСГМ</w:t>
        </w:r>
      </w:hyperlink>
      <w:r/>
      <w:r>
        <w:rPr>
          <w:color w:val="0f4761" w:themeColor="accent1" w:themeShade="BF"/>
        </w:rPr>
      </w:r>
    </w:p>
    <w:p>
      <w:pPr>
        <w:rPr>
          <w:color w:val="0f4761" w:themeColor="accent1" w:themeShade="BF"/>
        </w:rPr>
      </w:pPr>
      <w:r/>
      <w:hyperlink r:id="rId13" w:tooltip="https://itpm-wiki.mos.ru/pages/viewpage.action?pageId=482562353" w:history="1">
        <w:r>
          <w:rPr>
            <w:rStyle w:val="636"/>
            <w:color w:val="0f4761" w:themeColor="accent1" w:themeShade="BF"/>
          </w:rPr>
          <w:t xml:space="preserve">ОЛ6. Интервью помощника судьи АСГМ</w:t>
        </w:r>
      </w:hyperlink>
      <w:r>
        <w:rPr>
          <w:color w:val="0f4761" w:themeColor="accent1" w:themeShade="BF"/>
        </w:rPr>
        <w:br/>
      </w:r>
      <w:hyperlink r:id="rId14" w:tooltip="https://itpm-wiki.mos.ru/pages/viewpage.action?pageId=484788093" w:history="1">
        <w:r>
          <w:rPr>
            <w:rStyle w:val="636"/>
            <w:color w:val="0f4761" w:themeColor="accent1" w:themeShade="BF"/>
          </w:rPr>
          <w:t xml:space="preserve">ОЛ13. Интервью помощника судьи АСГМ</w:t>
        </w:r>
      </w:hyperlink>
      <w:r/>
      <w:r>
        <w:rPr>
          <w:color w:val="0f4761" w:themeColor="accent1" w:themeShade="BF"/>
        </w:rPr>
      </w:r>
    </w:p>
    <w:p>
      <w:pPr>
        <w:rPr>
          <w:color w:val="0f4761" w:themeColor="accent1" w:themeShade="BF"/>
        </w:rPr>
      </w:pPr>
      <w:r/>
      <w:hyperlink r:id="rId15" w:tooltip="https://itpm-wiki.mos.ru/pages/viewpage.action?pageId=553171752" w:history="1">
        <w:r>
          <w:rPr>
            <w:rStyle w:val="636"/>
            <w:color w:val="0f4761" w:themeColor="accent1" w:themeShade="BF"/>
          </w:rPr>
          <w:t xml:space="preserve">ОЛ21. Интервью судьи банкротного состава АСГМ</w:t>
        </w:r>
      </w:hyperlink>
      <w:r/>
      <w:r>
        <w:rPr>
          <w:color w:val="0f4761" w:themeColor="accent1" w:themeShade="BF"/>
        </w:rPr>
      </w:r>
    </w:p>
    <w:p>
      <w:pPr>
        <w:pStyle w:val="622"/>
        <w:rPr>
          <w:rFonts w:eastAsia="Times New Roman"/>
        </w:rPr>
      </w:pPr>
      <w:r>
        <w:rPr>
          <w:rFonts w:eastAsia="Times New Roman"/>
        </w:rPr>
        <w:t xml:space="preserve">2. Перечень регламентирующих НПА</w:t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9344"/>
      </w:tblGrid>
      <w:tr>
        <w:tblPrEx/>
        <w:trPr>
          <w:cantSplit/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Название НПА с реквизитами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Арбитражный процессуальный кодекс Российской Федерации от 24.07.2002 N 95-ФЗ (ред. от 01.04.2025)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  <w:r>
              <w:t xml:space="preserve"> (</w:t>
            </w:r>
            <w:r>
              <w:t xml:space="preserve">далее-Инструкция по делопроизводству)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Постановление Пленума Верховного Суда РФ от 17.12.2024 N 4</w:t>
            </w:r>
            <w:r>
              <w:t xml:space="preserve">0 "О некоторых вопросах, связанных с введением в действие Федерального закона от 29 мая 2024 года N 107-ФЗ "О внесении изменений в Федеральный закон "О несостоятельности (банкротстве)" и статью 223 Арбитражного процессуального кодекса Российской Федерации"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Постановление Пленума Верховного Суда РФ от 04.06.2024 N 12 "О подготовке дела к судебному разбирательству в арбитражном суде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Обзор судебной практики Верховного Суда Российской Федерации N 2 (2021)" (утв. Президиумом Верховного Суда РФ 30.06.2021)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Постановление Пленума Верховного Суда РФ от 26.12.2017 N 57 "О некоторых вопросах применения законодательства, регулирующего использование документов в электронном виде в деятельности судов общей юрисдикции и арбитражных судов"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Постановление Пленума ВАС РФ от 25.12.2013 N 99 (ред. от 23.12.2021) "О процессуальных сроках"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Приказ Минцифры России от 17.04.2023 N 382 "Об утверждении Правил оказания услуг почтовой связи" (Зарегистрировано в Минюсте России 02.06.2023 N 73719)</w:t>
            </w:r>
            <w:r/>
          </w:p>
        </w:tc>
      </w:tr>
    </w:tbl>
    <w:p>
      <w:pPr>
        <w:pStyle w:val="622"/>
        <w:rPr>
          <w:rFonts w:eastAsia="Times New Roman"/>
        </w:rPr>
      </w:pPr>
      <w:r>
        <w:rPr>
          <w:rFonts w:eastAsia="Times New Roman"/>
        </w:rPr>
        <w:t xml:space="preserve">3. Акторы </w:t>
      </w:r>
      <w:r>
        <w:rPr>
          <w:rFonts w:eastAsia="Times New Roman"/>
        </w:rPr>
      </w:r>
    </w:p>
    <w:tbl>
      <w:tblPr>
        <w:tblW w:w="1446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3962"/>
        <w:gridCol w:w="10498"/>
      </w:tblGrid>
      <w:tr>
        <w:tblPrEx/>
        <w:trPr/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Бизнес-роль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Выполняемые действия/функция</w:t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Помощник судьи </w:t>
            </w:r>
            <w:r>
              <w:rPr>
                <w:rFonts w:eastAsia="Times New Roman"/>
              </w:rPr>
              <w:t xml:space="preserve">Арбитражного суда</w:t>
            </w: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Инициирует процесс направления судебных актов, извещений и иных процессуальных документов участникам дела при возникновении необходимости надлежащего уведомления.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Определяет способ направления документа в соответствии с главой 12 АПК РФ (почта, вручение нарочно, электронная почта, факс, телеграмма, телефонограмма, гибридная почта).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Вносит сведения в информационную систему суда о выбранном способе направления и фиксирует параметры уведомления.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Подготавливает документы к отправке: формирует вложения, расписки о вручении, электронные письма, тексты телеграмм и телефонограмм.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Организует передачу документа через отдел делопроизводства либо осуществляет вручение адресату самостоятельно под расписку.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Осуществляет направление документов средствами оперативной связи (факс, </w:t>
            </w:r>
            <w:r>
              <w:rPr>
                <w:rFonts w:eastAsia="Times New Roman"/>
              </w:rPr>
              <w:t xml:space="preserve">e-mail</w:t>
            </w:r>
            <w:r>
              <w:rPr>
                <w:rFonts w:eastAsia="Times New Roman"/>
              </w:rPr>
              <w:t xml:space="preserve">, телефонограмма) при необходимости срочного уведомления.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Формирует почтовые отправления, реестры исходящей корреспонденции и отправочные документы в ПК САД.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Обеспечивает передачу материалов для направления через Почту России или через центр гибридной почты.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Регистрирует подтверждающие документы (расписки, отчёты факса, телефонограммы) в ИС суда и приобщает их к материалам дела.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Фиксирует случаи отказа адресата расписаться в получении и оформляет соответствующие отметки согласно Инструкции по делопроизводству.</w:t>
            </w:r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С</w:t>
            </w:r>
            <w:r>
              <w:rPr>
                <w:rFonts w:eastAsia="Times New Roman"/>
              </w:rPr>
              <w:t xml:space="preserve">екретарь судебного заседания</w:t>
            </w:r>
            <w:r>
              <w:rPr>
                <w:rFonts w:eastAsia="Times New Roman"/>
              </w:rPr>
              <w:t xml:space="preserve"> Арбитражного суда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Инициирует процесс направления судебных актов, извещений и иных процессуальных документов участникам дела при возникновении необходимости надлежащего уведомления.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Определяет способ направления документа в соответствии с главой 12 АПК РФ (почта, вручение нарочно, электронная почта, факс, телеграмма, телефонограмма, гибридная почта).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Вносит сведения в информационную систему суда о выбранном способе направления и фиксирует параметры уведомления.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Подготавливает документы к отправке: формирует вложения, расписки о вручении, электронные письма, тексты телеграмм и телефонограмм.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Организует передачу документа через отдел делопроизводства либо осуществляет вручение адресату самостоятельно под расписку.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Осуществляет направление документов средствами оперативной связи (факс, </w:t>
            </w:r>
            <w:r>
              <w:rPr>
                <w:rFonts w:eastAsia="Times New Roman"/>
              </w:rPr>
              <w:t xml:space="preserve">e-mail</w:t>
            </w:r>
            <w:r>
              <w:rPr>
                <w:rFonts w:eastAsia="Times New Roman"/>
              </w:rPr>
              <w:t xml:space="preserve">, телефонограмма) при необходимости срочного уведомления.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Формирует почтовые отправления, реестры исходящей корреспонденции и отправочные документы в ПК САД.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Обеспечивает передачу материалов для направления через Почту России или через центр гибридной почты.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Регистрирует подтверждающие документы (расписки, отчёты факса, телефонограммы) в ИС суда и приобщает их к материалам дела.</w:t>
            </w:r>
            <w:r>
              <w:rPr>
                <w:rFonts w:eastAsia="Times New Roman"/>
              </w:rPr>
            </w:r>
          </w:p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Фиксирует случаи отказа адресата расписаться в получении и оформляет соответствующие отметки согласно Инструкции по делопроизводству.</w:t>
            </w:r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Сотрудник канцелярии </w:t>
            </w:r>
            <w:r>
              <w:rPr>
                <w:rFonts w:eastAsia="Times New Roman"/>
              </w:rPr>
              <w:t xml:space="preserve">Арбитражного суда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Получает судебные документы и расписки от помощника/секретаря для вручения либо отправки адресатам.</w:t>
            </w:r>
            <w:r>
              <w:rPr>
                <w:rFonts w:eastAsia="Times New Roman"/>
              </w:rPr>
              <w:br/>
              <w:t xml:space="preserve">• Осуществляет вручение документов участникам процесса нарочно через канцелярию под расписку, обеспечивая подтверждение получения.</w:t>
            </w:r>
            <w:r>
              <w:rPr>
                <w:rFonts w:eastAsia="Times New Roman"/>
              </w:rPr>
              <w:br/>
              <w:t xml:space="preserve">• Фиксирует отказ адресата от подписи в расписке и оформляет процессуально значимую отметку.</w:t>
            </w:r>
            <w:r>
              <w:rPr>
                <w:rFonts w:eastAsia="Times New Roman"/>
              </w:rPr>
              <w:br/>
              <w:t xml:space="preserve">• Регистрирует расписки о вручении и другие подтверждающие документы в информационной системе суда.</w:t>
            </w:r>
            <w:r>
              <w:rPr>
                <w:rFonts w:eastAsia="Times New Roman"/>
              </w:rPr>
              <w:br/>
              <w:t xml:space="preserve">• Передает подтверждение вручения обратно в состав суда для приобщения к материалам дела.</w:t>
            </w:r>
            <w:r>
              <w:rPr>
                <w:rFonts w:eastAsia="Times New Roman"/>
              </w:rPr>
              <w:br/>
              <w:t xml:space="preserve">• Закрывает почтовые реестры отправки, вносит сведения об исходящей корреспонденции в систему.</w:t>
            </w:r>
            <w:r>
              <w:rPr>
                <w:rFonts w:eastAsia="Times New Roman"/>
              </w:rPr>
              <w:br/>
              <w:t xml:space="preserve">• Организует передачу сформированных отправлений в Почту России для последующего направления участникам дела.</w:t>
            </w:r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Сотрудник экспедиции Арбитражного суда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Получает судебные документы и расписки от помощника/секретаря для вручения либо отправки адресатам.</w:t>
            </w:r>
            <w:r>
              <w:rPr>
                <w:rFonts w:eastAsia="Times New Roman"/>
              </w:rPr>
              <w:br/>
              <w:t xml:space="preserve">• Осуществляет вручение документов участникам процесса нарочно через канцелярию под расписку, обеспечивая подтверждение получения.</w:t>
            </w:r>
            <w:r>
              <w:rPr>
                <w:rFonts w:eastAsia="Times New Roman"/>
              </w:rPr>
              <w:br/>
              <w:t xml:space="preserve">• Фиксирует отказ адресата от подписи в расписке и оформляет процессуально значимую отметку.</w:t>
            </w:r>
            <w:r>
              <w:rPr>
                <w:rFonts w:eastAsia="Times New Roman"/>
              </w:rPr>
              <w:br/>
              <w:t xml:space="preserve">• Регистрирует расписки о вручении и другие подтверждающие документы в информационной системе суда.</w:t>
            </w:r>
            <w:r>
              <w:rPr>
                <w:rFonts w:eastAsia="Times New Roman"/>
              </w:rPr>
              <w:br/>
              <w:t xml:space="preserve">• Передает подтверждение вручения обратно в состав суда для приобщения к материалам дела.</w:t>
            </w:r>
            <w:r>
              <w:rPr>
                <w:rFonts w:eastAsia="Times New Roman"/>
              </w:rPr>
              <w:br/>
              <w:t xml:space="preserve">• Закрывает почтовые реестры отправки, вносит сведения об исходящей корреспонденции в систему.</w:t>
            </w:r>
            <w:r>
              <w:rPr>
                <w:rFonts w:eastAsia="Times New Roman"/>
              </w:rPr>
              <w:br/>
              <w:t xml:space="preserve">• Организует передачу сформированных отправлений в Почту России для последующего направления участникам дела.</w:t>
            </w:r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Сотрудник отдела делопроизводства Арбитражного суда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Получает судебные документы и расписки от помощника/секретаря для вручения либо отправки адресатам.</w:t>
            </w:r>
            <w:r>
              <w:rPr>
                <w:rFonts w:eastAsia="Times New Roman"/>
              </w:rPr>
              <w:br/>
              <w:t xml:space="preserve">• Осуществляет вручение документов участникам процесса нарочно через канцелярию под расписку, обеспечивая подтверждение получения.</w:t>
            </w:r>
            <w:r>
              <w:rPr>
                <w:rFonts w:eastAsia="Times New Roman"/>
              </w:rPr>
              <w:br/>
              <w:t xml:space="preserve">• Фиксирует отказ адресата от подписи в расписке и оформляет процессуально значимую отметку.</w:t>
            </w:r>
            <w:r>
              <w:rPr>
                <w:rFonts w:eastAsia="Times New Roman"/>
              </w:rPr>
              <w:br/>
              <w:t xml:space="preserve">• Регистрирует расписки о вручении и другие подтверждающие документы в информационной системе суда.</w:t>
            </w:r>
            <w:r>
              <w:rPr>
                <w:rFonts w:eastAsia="Times New Roman"/>
              </w:rPr>
              <w:br/>
              <w:t xml:space="preserve">• Передает подтверждение вручения обратно в состав суда для приобщения к материалам дела.</w:t>
            </w:r>
            <w:r>
              <w:rPr>
                <w:rFonts w:eastAsia="Times New Roman"/>
              </w:rPr>
              <w:br/>
              <w:t xml:space="preserve">• Закрывает почтовые реестры отправки, вносит сведения об исходящей корреспонденции в систему.</w:t>
            </w:r>
            <w:r>
              <w:rPr>
                <w:rFonts w:eastAsia="Times New Roman"/>
              </w:rPr>
              <w:br/>
              <w:t xml:space="preserve">• Организует передачу сформированных отправлений в Почту России для последующего направления участникам дела.</w:t>
            </w:r>
            <w:r>
              <w:rPr>
                <w:rFonts w:eastAsia="Times New Roman"/>
              </w:rPr>
            </w:r>
          </w:p>
        </w:tc>
      </w:tr>
    </w:tbl>
    <w:p>
      <w:pPr>
        <w:pStyle w:val="631"/>
      </w:pPr>
      <w:r>
        <w:t xml:space="preserve">* С указанием суда/инстанции/иного административного органа</w:t>
      </w:r>
      <w:r/>
    </w:p>
    <w:p>
      <w:pPr>
        <w:pStyle w:val="622"/>
        <w:rPr>
          <w:rFonts w:eastAsia="Times New Roman"/>
        </w:rPr>
      </w:pPr>
      <w:r>
        <w:rPr>
          <w:rFonts w:eastAsia="Times New Roman"/>
        </w:rPr>
        <w:t xml:space="preserve">4. Процессуальные документы и их шаблоны (образцы)</w:t>
      </w:r>
      <w:r>
        <w:rPr>
          <w:rFonts w:eastAsia="Times New Roman"/>
        </w:rPr>
      </w:r>
    </w:p>
    <w:p>
      <w:pPr>
        <w:pStyle w:val="623"/>
        <w:rPr>
          <w:rFonts w:eastAsia="Times New Roman"/>
        </w:rPr>
      </w:pPr>
      <w:r>
        <w:rPr>
          <w:rFonts w:eastAsia="Times New Roman"/>
        </w:rPr>
        <w:t xml:space="preserve">4.1 Документы рассмотрения (документы входящие от участников процесса</w:t>
      </w:r>
      <w:r>
        <w:rPr>
          <w:rFonts w:eastAsia="Times New Roman"/>
        </w:rPr>
        <w:t xml:space="preserve">)</w:t>
      </w:r>
      <w:r>
        <w:rPr>
          <w:rFonts w:eastAsia="Times New Roman"/>
        </w:rPr>
      </w:r>
    </w:p>
    <w:p>
      <w:pPr>
        <w:rPr>
          <w:rFonts w:eastAsia="Times New Roman"/>
        </w:rPr>
      </w:pPr>
      <w:r>
        <w:rPr>
          <w:rFonts w:eastAsia="Times New Roman"/>
        </w:rPr>
        <w:t xml:space="preserve">Описываемый процесс не содержит документов рассмотрения.</w:t>
      </w:r>
      <w:r>
        <w:rPr>
          <w:rFonts w:eastAsia="Times New Roman"/>
        </w:rPr>
      </w:r>
    </w:p>
    <w:tbl>
      <w:tblPr>
        <w:tblW w:w="3926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392"/>
        <w:gridCol w:w="1525"/>
        <w:gridCol w:w="2330"/>
        <w:gridCol w:w="1798"/>
        <w:gridCol w:w="1292"/>
      </w:tblGrid>
      <w:tr>
        <w:tblPrEx/>
        <w:trPr>
          <w:cantSplit/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№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Вид документа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Наименование документа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Форма документа*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Образец**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</w:tr>
    </w:tbl>
    <w:p>
      <w:pPr>
        <w:pStyle w:val="631"/>
      </w:pPr>
      <w:r>
        <w:t xml:space="preserve">*</w:t>
      </w:r>
      <w:r>
        <w:rPr>
          <w:rStyle w:val="630"/>
        </w:rPr>
        <w:t xml:space="preserve"> </w:t>
      </w:r>
      <w:r>
        <w:t xml:space="preserve">Бумажный документ / электронный документ / электронный документ с ЭЦП / печатная форма (из ИС).</w:t>
      </w:r>
      <w:r/>
    </w:p>
    <w:p>
      <w:pPr>
        <w:pStyle w:val="631"/>
      </w:pPr>
      <w:r>
        <w:t xml:space="preserve">** Файл или ссылка на облако ДИТ. </w:t>
      </w:r>
      <w:r/>
    </w:p>
    <w:p>
      <w:pPr>
        <w:pStyle w:val="623"/>
        <w:rPr>
          <w:rFonts w:eastAsia="Times New Roman"/>
        </w:rPr>
      </w:pPr>
      <w:r>
        <w:rPr>
          <w:rFonts w:eastAsia="Times New Roman"/>
        </w:rPr>
        <w:t xml:space="preserve">4.2 Судебные акты</w:t>
      </w:r>
      <w:r>
        <w:rPr>
          <w:rFonts w:eastAsia="Times New Roman"/>
        </w:rPr>
      </w:r>
    </w:p>
    <w:p>
      <w:pPr>
        <w:rPr>
          <w:rFonts w:eastAsia="Times New Roman"/>
        </w:rPr>
      </w:pPr>
      <w:r>
        <w:rPr>
          <w:rFonts w:eastAsia="Times New Roman"/>
        </w:rPr>
        <w:t xml:space="preserve">В описываемом процессе не происходит вынесения судебных актов</w:t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392"/>
        <w:gridCol w:w="1331"/>
        <w:gridCol w:w="1843"/>
        <w:gridCol w:w="3195"/>
        <w:gridCol w:w="1531"/>
        <w:gridCol w:w="1052"/>
      </w:tblGrid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№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Вид документа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Наименование документа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Форма (протокольный/отдельный СА)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rFonts w:eastAsia="Times New Roman"/>
              </w:rPr>
              <w:t xml:space="preserve">Обжалуется (да/нет)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rFonts w:eastAsia="Times New Roman"/>
              </w:rPr>
              <w:t xml:space="preserve">Образец</w:t>
            </w:r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3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</w:tr>
    </w:tbl>
    <w:p>
      <w:pPr>
        <w:pStyle w:val="622"/>
        <w:rPr>
          <w:rFonts w:eastAsia="Times New Roman"/>
        </w:rPr>
      </w:pPr>
      <w:r>
        <w:rPr>
          <w:rFonts w:eastAsia="Times New Roman"/>
        </w:rPr>
        <w:t xml:space="preserve">5.  Процессуальные сроки</w:t>
      </w:r>
      <w:r>
        <w:rPr>
          <w:rFonts w:eastAsia="Times New Roman"/>
        </w:rPr>
      </w:r>
    </w:p>
    <w:p>
      <w:pPr>
        <w:pStyle w:val="631"/>
        <w:jc w:val="both"/>
      </w:pPr>
      <w:r>
        <w:t xml:space="preserve">Срок направления документа варьируется в зависимости от того, какой СА или документ направляется. Срок направления по видам отражен на каркасных процессах в зависимости от вида спора. В данном процессе </w:t>
      </w:r>
      <w:r>
        <w:t xml:space="preserve">описывается  сам</w:t>
      </w:r>
      <w:r>
        <w:t xml:space="preserve"> процесс направления документов судом.</w:t>
      </w:r>
      <w:r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1314"/>
        <w:gridCol w:w="3937"/>
        <w:gridCol w:w="1487"/>
        <w:gridCol w:w="2606"/>
      </w:tblGrid>
      <w:tr>
        <w:tblPrEx/>
        <w:trPr/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Шаг процесса</w:t>
            </w:r>
            <w:r>
              <w:rPr>
                <w:rFonts w:eastAsia="Times New Roman"/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Описание процессуального действия, для которого установлен срок</w:t>
            </w:r>
            <w:r>
              <w:rPr>
                <w:rFonts w:eastAsia="Times New Roman"/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Срок (год, месяц, день)</w:t>
            </w:r>
            <w:r>
              <w:rPr>
                <w:rFonts w:eastAsia="Times New Roman"/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Применимые нормы (по возможности)</w:t>
            </w:r>
            <w:r>
              <w:rPr>
                <w:rFonts w:eastAsia="Times New Roman"/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—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—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—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—</w:t>
            </w:r>
            <w:r>
              <w:rPr>
                <w:rFonts w:eastAsia="Times New Roman"/>
              </w:rPr>
            </w:r>
          </w:p>
        </w:tc>
      </w:tr>
    </w:tbl>
    <w:p>
      <w:pPr>
        <w:pStyle w:val="622"/>
        <w:rPr>
          <w:rFonts w:eastAsia="Times New Roman"/>
        </w:rPr>
      </w:pPr>
      <w:r>
        <w:rPr>
          <w:rFonts w:eastAsia="Times New Roman"/>
        </w:rPr>
        <w:t xml:space="preserve">6. Реестр справочников</w:t>
      </w:r>
      <w:r>
        <w:rPr>
          <w:rFonts w:eastAsia="Times New Roman"/>
        </w:rPr>
      </w:r>
    </w:p>
    <w:tbl>
      <w:tblPr>
        <w:tblW w:w="16382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630"/>
        <w:gridCol w:w="2292"/>
        <w:gridCol w:w="5515"/>
        <w:gridCol w:w="1569"/>
        <w:gridCol w:w="8105"/>
      </w:tblGrid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rFonts w:eastAsia="Times New Roman"/>
              </w:rPr>
              <w:t xml:space="preserve">№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rFonts w:eastAsia="Times New Roman"/>
              </w:rPr>
              <w:t xml:space="preserve">Наименование справочника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rFonts w:eastAsia="Times New Roman"/>
              </w:rPr>
              <w:t xml:space="preserve">Назначение справочника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Структура справочника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rPr>
                <w:rStyle w:val="630"/>
              </w:rPr>
              <w:t xml:space="preserve">Значения справочника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1.7.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Документы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Используется для выбора направляемого документа (СА, извещение, письмо), регистрации факта направления и прикрепления подтверждающих материалов (расписка, телефонограмма, отчет факса)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16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1.13.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Метки документов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Применяется для фиксации статуса документа: «направлен», «вручен нарочно», «отправлен почтой», «отправлен </w:t>
            </w:r>
            <w:r>
              <w:t xml:space="preserve">e-mail</w:t>
            </w:r>
            <w:r>
              <w:t xml:space="preserve">»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17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1.23.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Процессуальные действия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Фиксация действия суда: «направить документ», «вручить под расписку», «известить участников»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18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1.24.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Процессуальные состояния документов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Обновление состояния документа: подготовлен → направлен → вручён/доставлен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19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1.27.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Типы почтовых отправлений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Используется при формировании отправлений через Почту России: заказное письмо, уведомление о вручении, бандероль и </w:t>
            </w:r>
            <w:r>
              <w:t xml:space="preserve">т.п.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20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1.28.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Типы документов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Определение типа направляемого документа: определение, решение, извещение, повестка, копия судебного акта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21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1.31.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Участники информационного взаимодействия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Определение адресатов направления: ЛУВД, иные участники процесса, органы и организации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22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2.1.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Адресат (отправка/получение дела)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Выбор получателя документа при направлении (истец, ответчик, представитель, третье лицо)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23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2.9.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Подразделения суда и сотрудники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Используется для идентификации исполнителя: помощник судьи, секретарь СЗ, канцелярия, экспедиция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24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2.13.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Роли пользователей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Разграничение полномочий: помощник/секретарь формирует отправление, канцелярия закрывает реестр, почта вручает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25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2.15.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Список сотрудников суда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Выбор конкретного сотрудника, ответственного за направление или закрытие реестра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26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2.19.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Шаблоны почтовых отправлений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Применяются при подготовке почтового конверта, уведомления, сопроводительных форм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27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2.20.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Шаблоны списков Ф.103, Ф.103-а, Ф.103-ф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Используются при формировании списков отправки копий судебных актов через Почту России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28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2.21.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Шаблоны списка Ф.103 (отправка судебных дел)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Используется при формировании реестра отправки документов/дел почтовым способом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29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2.2.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Диапазоны номеров почтовых отправлений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Присвоение идентификаторов отправлениям при регистрации почтовых конвертов и реестров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30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2.5.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Зоны отправки корреспонденции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Используется для маршрутизации корреспонденции (внутригородская/межрегиональная/международная отправка)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31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2.6.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Идентификаторы международных РПО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Применяется при международных заказных отправлениях и отслеживании доставки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32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1.33.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Экранные формы для отображения документов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Используются при создании электронного письма, прикреплении сканов и формировании карточки отправки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33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1.19.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Правила проверки корректности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Контроль заполнения обязательных полей перед отправкой: адресат, способ доставки, реквизиты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630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/>
            <w:hyperlink r:id="rId34" w:tooltip="https://cloud.dit.mos.ru/apps/ditdocuments/s/wYj6atoLqNyErfJ?fileId=289256339" w:history="1">
              <w:r>
                <w:rPr>
                  <w:rStyle w:val="636"/>
                </w:rPr>
                <w:t xml:space="preserve">https://cloud.dit.mos.ru/apps/ditdocuments/s/wYj6atoLqNyErfJ?fileId=289256339</w:t>
              </w:r>
            </w:hyperlink>
            <w:r/>
            <w:r>
              <w:rPr>
                <w:rFonts w:eastAsia="Times New Roman"/>
              </w:rPr>
            </w:r>
          </w:p>
        </w:tc>
      </w:tr>
    </w:tbl>
    <w:p>
      <w:pPr>
        <w:pStyle w:val="622"/>
        <w:rPr>
          <w:rFonts w:eastAsia="Times New Roman"/>
        </w:rPr>
      </w:pPr>
      <w:r>
        <w:rPr>
          <w:rFonts w:eastAsia="Times New Roman"/>
        </w:rPr>
        <w:t xml:space="preserve">7. Межведомственное взаимодействие </w:t>
      </w:r>
      <w:r>
        <w:rPr>
          <w:rFonts w:eastAsia="Times New Roman"/>
        </w:rPr>
      </w:r>
    </w:p>
    <w:tbl>
      <w:tblPr>
        <w:tblW w:w="1692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1296"/>
        <w:gridCol w:w="1907"/>
        <w:gridCol w:w="1077"/>
        <w:gridCol w:w="1907"/>
      </w:tblGrid>
      <w:tr>
        <w:tblPrEx/>
        <w:trPr/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993" w:type="pct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Ведомство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353" w:type="pct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Вид взаимодействия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213" w:type="pct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Система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441" w:type="pct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Суть взаимодействия</w:t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993" w:type="pct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Почта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353" w:type="pct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Электронное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213" w:type="pct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ПК САД/ </w:t>
            </w:r>
            <w:r>
              <w:t xml:space="preserve">онлайн-сервис ФГУП Почта России</w:t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441" w:type="pct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Направление телеграмм, гибридной почты</w:t>
            </w:r>
            <w:r/>
          </w:p>
        </w:tc>
      </w:tr>
    </w:tbl>
    <w:p>
      <w:pPr>
        <w:pStyle w:val="622"/>
        <w:rPr>
          <w:rFonts w:eastAsia="Times New Roman"/>
        </w:rPr>
      </w:pPr>
      <w:r>
        <w:rPr>
          <w:rFonts w:eastAsia="Times New Roman"/>
        </w:rPr>
        <w:t xml:space="preserve">8. AS IS</w:t>
      </w:r>
      <w:r>
        <w:rPr>
          <w:rFonts w:eastAsia="Times New Roman"/>
        </w:rPr>
      </w:r>
    </w:p>
    <w:p>
      <w:pPr>
        <w:pStyle w:val="623"/>
        <w:rPr>
          <w:rFonts w:eastAsia="Times New Roman"/>
        </w:rPr>
      </w:pPr>
      <w:r>
        <w:rPr>
          <w:rFonts w:eastAsia="Times New Roman"/>
        </w:rPr>
        <w:t xml:space="preserve">8.1 Схема процесса </w:t>
      </w:r>
      <w:r>
        <w:rPr>
          <w:rFonts w:eastAsia="Times New Roman"/>
        </w:rPr>
      </w:r>
    </w:p>
    <w:p>
      <w:pPr>
        <w:pStyle w:val="631"/>
        <w:rPr>
          <w:lang w:val="en-US"/>
        </w:rPr>
      </w:pPr>
      <w:r>
        <w:rPr>
          <w:lang w:val="en-US"/>
        </w:rPr>
        <w:t xml:space="preserve">TBP46_napravit_dokument_bpmn_</w:t>
      </w:r>
      <w:r>
        <w:rPr>
          <w:lang w:val="en-US"/>
        </w:rPr>
        <w:t xml:space="preserve">asis.bpmn</w:t>
      </w:r>
      <w:r>
        <w:rPr>
          <w:lang w:val="en-US"/>
        </w:rPr>
      </w:r>
    </w:p>
    <w:p>
      <w:pPr>
        <w:pStyle w:val="623"/>
        <w:rPr>
          <w:rFonts w:eastAsia="Times New Roman"/>
        </w:rPr>
      </w:pPr>
      <w:r>
        <w:rPr>
          <w:rFonts w:eastAsia="Times New Roman"/>
        </w:rPr>
        <w:t xml:space="preserve">8.2 Описание схемы</w:t>
      </w:r>
      <w:r>
        <w:rPr>
          <w:rFonts w:eastAsia="Times New Roman"/>
        </w:rPr>
      </w:r>
    </w:p>
    <w:p>
      <w:pPr>
        <w:pStyle w:val="622"/>
        <w:spacing w:before="49" w:after="49"/>
        <w:rPr>
          <w:b w:val="0"/>
          <w:bCs w:val="0"/>
          <w:color w:val="215e99" w:themeColor="text2" w:themeTint="BF"/>
          <w:sz w:val="24"/>
          <w:szCs w:val="24"/>
          <w:lang w:val="en-US"/>
        </w:rPr>
      </w:pPr>
      <w:r>
        <w:rPr>
          <w:rFonts w:eastAsia="Times New Roman"/>
          <w:sz w:val="24"/>
          <w:szCs w:val="24"/>
        </w:rPr>
        <w:t xml:space="preserve">Термины и сокращения:</w:t>
      </w:r>
      <w:r>
        <w:rPr>
          <w:rFonts w:eastAsia="Times New Roman"/>
          <w:b w:val="0"/>
          <w:bCs w:val="0"/>
          <w:sz w:val="24"/>
          <w:szCs w:val="24"/>
        </w:rPr>
        <w:t xml:space="preserve"> </w:t>
      </w:r>
      <w:hyperlink r:id="rId35" w:tooltip="https://itpm-wiki.mos.ru/pages/viewpage.action?pageId=533161398" w:history="1">
        <w:r>
          <w:rPr>
            <w:rStyle w:val="636"/>
            <w:rFonts w:eastAsia="Times New Roman"/>
            <w:b w:val="0"/>
            <w:bCs w:val="0"/>
            <w:color w:val="215e99" w:themeColor="text2" w:themeTint="BF"/>
            <w:sz w:val="24"/>
            <w:szCs w:val="24"/>
          </w:rPr>
          <w:t xml:space="preserve">https://itpm-wiki.mos.ru/pages/viewpage.action?pageId=533161398</w:t>
        </w:r>
      </w:hyperlink>
      <w:r/>
      <w:r>
        <w:rPr>
          <w:b w:val="0"/>
          <w:bCs w:val="0"/>
          <w:color w:val="215e99" w:themeColor="text2" w:themeTint="BF"/>
          <w:sz w:val="24"/>
          <w:szCs w:val="24"/>
          <w:lang w:val="en-US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767"/>
        <w:gridCol w:w="2151"/>
        <w:gridCol w:w="1262"/>
        <w:gridCol w:w="1262"/>
        <w:gridCol w:w="1751"/>
        <w:gridCol w:w="2151"/>
      </w:tblGrid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Номер действия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Роль</w:t>
            </w:r>
            <w:r>
              <w:rPr>
                <w:b/>
                <w:bCs/>
              </w:rPr>
              <w:br/>
            </w:r>
            <w:r>
              <w:rPr>
                <w:rStyle w:val="634"/>
                <w:b/>
                <w:bCs/>
                <w:i w:val="0"/>
                <w:iCs w:val="0"/>
              </w:rPr>
              <w:t xml:space="preserve">(актор на конкретном шаге, в </w:t>
            </w:r>
            <w:r>
              <w:rPr>
                <w:rStyle w:val="634"/>
                <w:b/>
                <w:bCs/>
                <w:i w:val="0"/>
                <w:iCs w:val="0"/>
              </w:rPr>
              <w:t xml:space="preserve">т.ч.</w:t>
            </w:r>
            <w:r>
              <w:rPr>
                <w:rStyle w:val="634"/>
                <w:b/>
                <w:bCs/>
                <w:i w:val="0"/>
                <w:iCs w:val="0"/>
              </w:rPr>
              <w:t xml:space="preserve"> Система)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Входящие материалы</w:t>
            </w:r>
            <w:r>
              <w:rPr>
                <w:b/>
                <w:bCs/>
              </w:rPr>
              <w:br/>
            </w:r>
            <w:r>
              <w:rPr>
                <w:rStyle w:val="634"/>
                <w:b/>
                <w:bCs/>
                <w:i w:val="0"/>
                <w:iCs w:val="0"/>
              </w:rPr>
              <w:t xml:space="preserve">(объект/данные, инициирующие шаг)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Исходящие материалы</w:t>
            </w:r>
            <w:r>
              <w:rPr>
                <w:b/>
                <w:bCs/>
              </w:rPr>
              <w:br/>
            </w:r>
            <w:r>
              <w:rPr>
                <w:rStyle w:val="634"/>
                <w:b/>
                <w:bCs/>
                <w:i w:val="0"/>
                <w:iCs w:val="0"/>
              </w:rPr>
              <w:t xml:space="preserve">(объект, являющийся результатом действия)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 шага процесса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  <w:rPr>
                <w:b/>
                <w:bCs/>
              </w:rPr>
            </w:pPr>
            <w:r>
              <w:rPr>
                <w:b/>
                <w:bCs/>
              </w:rPr>
              <w:t xml:space="preserve">Описание шага процесса</w:t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суда, который необходимо направить участникам процесса.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Необходимо направить документ. Стартовое событие.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Процесс направления судебных документов сторонам арбитражного дела является неотъемлемым элементом процессуального обеспечения принципа со</w:t>
            </w:r>
            <w:r>
              <w:t xml:space="preserve">стязательности и равноправия сторон, закреплённого в АПК РФ. Он направлен на реализацию права участников дела на информацию о ходе судебного разбирательства, а также на обеспечение надлежащего уведомления о процессуальных действиях суда. Процесс описывает </w:t>
            </w:r>
            <w:r>
              <w:t xml:space="preserve">процедурную деятельность, направленную на направление судебных актов и иных документов адресатам в установленной законом форме и порядке. Старт процесса происходит при возникновении необходимости направить документ ЛУВД или иным лицам, участникам процесса.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Выбрать способ направления документа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определяет способ, которым будут направлены документы.</w:t>
            </w:r>
            <w:r/>
            <w:r/>
          </w:p>
          <w:p>
            <w:pPr>
              <w:pStyle w:val="631"/>
            </w:pPr>
            <w:r>
              <w:t xml:space="preserve">В соответствии с положениями главы 12 АПК РФ  документы (СА, извещения или иные документы) могут быть направлены следующими способами:</w:t>
            </w:r>
            <w:r/>
          </w:p>
          <w:p>
            <w:pPr>
              <w:pStyle w:val="631"/>
              <w:numPr>
                <w:ilvl w:val="0"/>
                <w:numId w:val="1"/>
              </w:numPr>
            </w:pPr>
            <w:r>
              <w:t xml:space="preserve">по почте заказным письмом с уведомлением о вручении</w:t>
            </w:r>
            <w:r/>
          </w:p>
          <w:p>
            <w:pPr>
              <w:pStyle w:val="631"/>
              <w:numPr>
                <w:ilvl w:val="0"/>
                <w:numId w:val="1"/>
              </w:numPr>
            </w:pPr>
            <w:r>
              <w:t xml:space="preserve">путем вручения адресат</w:t>
            </w:r>
            <w:r>
              <w:t xml:space="preserve">у под расписку непосредственно в арбитражном суде или по месту нахождения адресата</w:t>
            </w:r>
            <w:r/>
          </w:p>
          <w:p>
            <w:pPr>
              <w:pStyle w:val="631"/>
              <w:numPr>
                <w:ilvl w:val="0"/>
                <w:numId w:val="1"/>
              </w:numPr>
            </w:pPr>
            <w:r>
              <w:t xml:space="preserve">путем направления телефонограммы, телеграммы</w:t>
            </w:r>
            <w:r/>
          </w:p>
          <w:p>
            <w:pPr>
              <w:pStyle w:val="631"/>
              <w:numPr>
                <w:ilvl w:val="0"/>
                <w:numId w:val="1"/>
              </w:numPr>
            </w:pPr>
            <w:r>
              <w:t xml:space="preserve">по факсимильной связи или электронной почте </w:t>
            </w:r>
            <w:r/>
          </w:p>
          <w:p>
            <w:pPr>
              <w:pStyle w:val="631"/>
              <w:numPr>
                <w:ilvl w:val="0"/>
                <w:numId w:val="1"/>
              </w:numPr>
            </w:pPr>
            <w:r>
              <w:t xml:space="preserve">с использованием иных средств связи.</w:t>
            </w:r>
            <w:r/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Внести информацию в ИС о способе направления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суда вносит информацию в ИС суда о способе, который выбран для направления документа.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Какой способ направления выбран? </w:t>
            </w:r>
            <w:r>
              <w:br/>
              <w:t xml:space="preserve">Эксклюзивный шлюз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принял решение о способе направления. Если документ необходимо в</w:t>
            </w:r>
            <w:r>
              <w:t xml:space="preserve">ручить нарочно через </w:t>
            </w:r>
            <w:r>
              <w:t xml:space="preserve">отдел делопроизводства, то происходит переход к шагу 4.</w:t>
            </w:r>
            <w:r>
              <w:br/>
              <w:t xml:space="preserve">Если документ необходимо в</w:t>
            </w:r>
            <w:r>
              <w:t xml:space="preserve">ручить нарочно самостоятельно</w:t>
            </w:r>
            <w:r>
              <w:t xml:space="preserve">, то происходит переход к шагу 14.</w:t>
            </w:r>
            <w:r>
              <w:br/>
              <w:t xml:space="preserve">Если документ необходимо н</w:t>
            </w:r>
            <w:r>
              <w:t xml:space="preserve">аправить по факсу</w:t>
            </w:r>
            <w:r>
              <w:t xml:space="preserve">, то происходит переход к шагу 20.</w:t>
            </w:r>
            <w:r>
              <w:br/>
              <w:t xml:space="preserve">Если необходимо н</w:t>
            </w:r>
            <w:r>
              <w:t xml:space="preserve">аправить телеграмму</w:t>
            </w:r>
            <w:r>
              <w:t xml:space="preserve">, то происходит переход к шагу 24.</w:t>
            </w:r>
            <w:r>
              <w:br/>
              <w:t xml:space="preserve">Если необходимо н</w:t>
            </w:r>
            <w:r>
              <w:t xml:space="preserve">аправить телефонограмму</w:t>
            </w:r>
            <w:r>
              <w:t xml:space="preserve">, то происходит переход к шагу 37.</w:t>
            </w:r>
            <w:r>
              <w:br/>
              <w:t xml:space="preserve">Если документ необходимо н</w:t>
            </w:r>
            <w:r>
              <w:t xml:space="preserve">аправить по E-mail</w:t>
            </w:r>
            <w:r>
              <w:t xml:space="preserve">, то происходит переход к шагу 43.</w:t>
            </w:r>
            <w:r>
              <w:br/>
              <w:t xml:space="preserve">Если документ необходимо н</w:t>
            </w:r>
            <w:r>
              <w:t xml:space="preserve">аправить Почтой России</w:t>
            </w:r>
            <w:r>
              <w:t xml:space="preserve">, то происходит переход к шагу 47. </w:t>
            </w:r>
            <w:r>
              <w:br/>
              <w:t xml:space="preserve">Если документ необходимо н</w:t>
            </w:r>
            <w:r>
              <w:t xml:space="preserve">аправить </w:t>
            </w:r>
            <w:r>
              <w:t xml:space="preserve">гибридной почтой, то происходит переход к шагу 53</w:t>
            </w:r>
            <w:r/>
          </w:p>
          <w:p>
            <w:pPr>
              <w:pStyle w:val="631"/>
            </w:pPr>
            <w:r/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по делу</w:t>
            </w:r>
            <w:r>
              <w:t xml:space="preserve">, расписка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ТБП106.Передать документ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Происходит вызов </w:t>
            </w:r>
            <w:hyperlink r:id="rId36" w:tooltip="https://itpm-wiki.mos.ru/pages/viewpage.action?pageId=487497728" w:history="1">
              <w:r>
                <w:rPr>
                  <w:rStyle w:val="636"/>
                </w:rPr>
                <w:t xml:space="preserve">ТБП106.Передать документ</w:t>
              </w:r>
            </w:hyperlink>
            <w:r>
              <w:t xml:space="preserve">, </w:t>
            </w:r>
            <w:r>
              <w:t xml:space="preserve">результатом которого будет передача документа и расписки в отдел делопроизводства суда по внутреннему реестру передачи.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5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по делу</w:t>
            </w:r>
            <w:r>
              <w:t xml:space="preserve">, расписка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Вручить лицу нарочно под расписку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>
              <w:t xml:space="preserve"> вручает документ лицу нарочно и просит ЛУВД поставить подпись о получении документа в расписке о вручении.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6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ЛУВД поставило подпись в расписке о получении документа?</w:t>
            </w:r>
            <w:r>
              <w:t xml:space="preserve"> Эксклюзивный шлюз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ЛУВД поставило подпись в расписке о получении документа?</w:t>
            </w:r>
            <w:r>
              <w:t xml:space="preserve"> </w:t>
            </w:r>
            <w:r>
              <w:br/>
              <w:t xml:space="preserve">Если «Да», то переход к шагу 8 процесса.</w:t>
            </w:r>
            <w:r>
              <w:br/>
              <w:t xml:space="preserve">Если «Нет», то переход к шагу 7 процесса.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7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Зафиксировать факт отказа расписаться</w:t>
            </w:r>
            <w:r>
              <w:t xml:space="preserve"> в</w:t>
            </w:r>
            <w:r>
              <w:t xml:space="preserve"> расписке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Если получатель отказался расписываться в получении документа и передал сотруднику</w:t>
            </w:r>
            <w:r>
              <w:t xml:space="preserve"> канцелярии/экспедиции/отдела делопроизводства</w:t>
            </w:r>
            <w:r>
              <w:t xml:space="preserve"> обратно пустую расписку, то такой сотрудник фиксирует факт отказа получателя расписаться в расписке.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Подписанная расписка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Зарегистрировать расписку в ИС суда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>
              <w:t xml:space="preserve"> регистрирует полученную расписку о вручении документа в информационной системе суда.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9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Эксклюзивный закрывающий шлюз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Эксклюзивный закрывающий шлюз для шага 8 процесса.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Подписанная расписка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Передать документ в материалы дела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>
              <w:t xml:space="preserve"> передает расписку помощнику судьи/секретарю СЗ, от которого были получены документы, необходимые для вручения, для последующего приобщения к материалам дела.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Подписанная расписка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Получить документ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получает расписку, подтверждающую вручение документа получателю от сотрудника отдела делопроизводства.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Подписанная расписка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Приобщить к материалам дела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приобщает к материалам дела расписку, свидетельствующую о вручении документа ЛУВД или иным участникам процесса.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вручен стороне через ОД.</w:t>
            </w:r>
            <w:r>
              <w:t xml:space="preserve"> Завершающее событие.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вручен стороне на руки через отдел делопроизводства, завершение процесса направления документа.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по делу</w:t>
            </w:r>
            <w:r>
              <w:t xml:space="preserve">, расписка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Вручить лицу нарочно под расписку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</w:t>
            </w:r>
            <w:r>
              <w:t xml:space="preserve">З принял решение вручить документ самостоятельно. Помощник/секретарь СЗ готовит документ и расписку для вручения и вручает ЛУВД или иному лицу, участнику процесса документ на руки и просит ЛУВД поставить подпись о получении документа в расписке о вручении.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15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ЛУВД поставило подпись в расписке о получении документа?</w:t>
            </w:r>
            <w:r>
              <w:t xml:space="preserve"> Эксклюзивный шлюз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ЛУВД поставило подпись в расписке о получении документа?</w:t>
            </w:r>
            <w:r>
              <w:t xml:space="preserve"> </w:t>
            </w:r>
            <w:r>
              <w:br/>
              <w:t xml:space="preserve">Если «Да», то переход к шагу 17 процесса.</w:t>
            </w:r>
            <w:r>
              <w:br/>
              <w:t xml:space="preserve">Если «Нет», то переход к шагу 16 процесса.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16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Зафиксировать факт отказа расписаться в расписке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суда фиксирует факт отказа расписаться в расписке в соответствии с положениями Инструкции по делопроизводству.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17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Подписанная расписка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Зарегистрировать расписку в ИС суда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регистрирует полученную расписку о вручении документа в информационной системе суда.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Эксклюзивный закрывающий шлюз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Эксклюзивный закрывающий шлюз для шага </w:t>
            </w:r>
            <w:r>
              <w:t xml:space="preserve">15</w:t>
            </w:r>
            <w:r>
              <w:t xml:space="preserve"> процесса.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19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вручен стороне нарочно помощником/секретарем СЗ.</w:t>
            </w:r>
            <w:r>
              <w:t xml:space="preserve"> Завершающее событие.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вручен стороне нарочно помощником/секретарем СЗ</w:t>
            </w:r>
            <w:r>
              <w:t xml:space="preserve">, завершение процесса направления документа.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20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/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Набрать факс-номер адресата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Факсимильная связь (факс) относится к способам официального документарного взаимодействия суда с участниками арбитражного процесса, применяемым в случаях, когда необходимо оперативно направ</w:t>
            </w:r>
            <w:r>
              <w:t xml:space="preserve">ить или получить процессуальный документ. Использование факсимильной связи регулируется статьями 121–123 АПК РФ, Инструкцией по делопроизводству (п. 5.4, 5.8). Помощник/секретарь СЗ суда набирает факс-номер адресата, которому необходимо направить документ.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21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по делу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Отправить факс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отправляет факс адресату.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22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Отчет о направлении факса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Получить подтверждение отправки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получает подтверждение отправки факса в виде отчет об отправке от аппарата, через который направлялся факс. В данном отчете в случае успешной отправки стоит значение «ОК», в случае ошибки будет указано «Ошибка направления».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23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направлен по факсу</w:t>
            </w:r>
            <w:r>
              <w:t xml:space="preserve">. Завершающее событие.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направлен по факсу. Завершение процесса направления документа.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24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Телеграмма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Составить текст телеграммы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Применение телеграммы в арбитражном процессе регулируется статьями 121–123 АПК РФ — устанавливающими требования к надлежащему уведомлению участников дела и Инструкцией по </w:t>
            </w:r>
            <w:r>
              <w:t xml:space="preserve">делопроизводству в арбитражных судах (п. 5.5, 5.8), предусматривающей возможность использования телеграммы как одного из способов направления судебных извещений. Телеграмма используется как средство официального уведомления, обеспечивающее фиксированную да</w:t>
            </w:r>
            <w:r>
              <w:t xml:space="preserve">ту и факт отправки, что имеет процессуальное значение для подтверждения надлежащего извещения сторон. Используется в случаях, когда донесение информации, содержащейся в документе, не требует отлагательств. Помощник/секретарь СЗ составляет текст телеграммы.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25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Как направить телеграмму? (Эксклюзивный шлюз)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выбирает способ направления телеграммы. Есть два варианта направления- через онлайн-сервис ФГУП Почта России или через направление текста телеграммы Почтой России через отдел делопроизводства суда.</w:t>
            </w:r>
            <w:r>
              <w:br/>
              <w:t xml:space="preserve">Если выбрано направление через онлайн-сервис, то переход к шагу 26 процесса.</w:t>
            </w:r>
            <w:r>
              <w:br/>
              <w:t xml:space="preserve">Если выбрано направление через почту России, то переход к шагу 28 процесса.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26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Телеграмма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Направить через онлайн-сервис ФГУП Почта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направляет телеграмму через онлайн-сервис ФГУП Почта России.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27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Телеграмма направлена через онлайн-сервис ФГУП Почта России</w:t>
            </w:r>
            <w:r>
              <w:t xml:space="preserve">.</w:t>
            </w:r>
            <w:r>
              <w:t xml:space="preserve"> </w:t>
            </w:r>
            <w:r>
              <w:t xml:space="preserve">Завершающее событие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Информация, содержащаяся в документе передана с помощью телеграммы. </w:t>
            </w:r>
            <w:r>
              <w:t xml:space="preserve">Телеграмма направлена через онлайн-сервис ФГУП Почта России</w:t>
            </w:r>
            <w:r>
              <w:t xml:space="preserve">.  Завершение процесса направления документа.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28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Телеграмма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Передать текст для отправления телеграммы через почту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передает составленную телеграмму для отправления через почту России в отдел делопроизводства.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29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Телеграмма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Получить текст для отправления телеграммы через почту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>
              <w:t xml:space="preserve"> получает текст для отправления телеграммы через почту России от помощника/секретаря СЗ. 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30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Направить текст в Почту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>
              <w:t xml:space="preserve"> регистрирует телеграмму в журналах исходящей корреспонденции и направляет ее в Почту России.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31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Телеграмма направлена через Почту России.</w:t>
            </w:r>
            <w:r>
              <w:t xml:space="preserve"> Завершающее событие.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Информация, содержащаяся в документе передана с помощью телеграммы. </w:t>
            </w:r>
            <w:r>
              <w:t xml:space="preserve">Телеграмма направлена через </w:t>
            </w:r>
            <w:r>
              <w:t xml:space="preserve">Почт</w:t>
            </w:r>
            <w:r>
              <w:t xml:space="preserve">e</w:t>
            </w:r>
            <w:r>
              <w:t xml:space="preserve"> России</w:t>
            </w:r>
            <w:r>
              <w:t xml:space="preserve">.  Завершение процесса направления документа</w:t>
            </w:r>
            <w:r>
              <w:t xml:space="preserve"> </w:t>
            </w:r>
            <w:r>
              <w:t xml:space="preserve">для суда.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32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Телеграмма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Получить текст телеграммы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 получает телеграмму для направления от сотрудника отдела делопроизводства суда.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33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Телеграмма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Зафиксировать дату и время приема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 фиксирует дату и время приема телеграммы.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34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Телеграмма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Номер телеграммы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Присвоить номер телеграммы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 присваивает номер телеграмме.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35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Телеграмма с номером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Вручить адресату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 вручает телеграмму адресату.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36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Телеграмма направлена получателю </w:t>
            </w:r>
            <w:r>
              <w:t xml:space="preserve">Завершающее событие.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 вручил телеграмму получателю. Завершение направления документа на пуле Почты России.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37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Решение о направлении телефонограммы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Взять номер телефона из материалов дела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берет номер телефона ЛУВД или иного участника, которому необходимо сообщить информацию, из материалов дела.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38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Совершить звонок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совершает звонок по указанному номеру.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39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Передать информацию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передает информацию по телефону.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40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Телефонограмма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Зафиксировать факт звонка в виде телефонограммы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фиксирует факт звонка в виде телефонограммы. Телефонограмма может быть составлена в MC Word и распечатана, а может быть зафиксирована в журнале телефонограмм, и копия листа этого журнала копируется для приобщения к материалам дела.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41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Телефонограмма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Приобщить телефонограмму к материалам дела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приобщает телефонограмму к материалам дела.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42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Телефонограмма направлена.</w:t>
            </w:r>
            <w:r>
              <w:t xml:space="preserve"> Завершающее событие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Информация, содержащаяся в документе передана с помощью телефонного звонка и зафиксирована в телефонограмме. Завершение процесса направления документа.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43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Электронное письмо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Создать электронное письмо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создает электронное письмо в ИС суда.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44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Скан-копия документа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Прикрепить скан-копию документа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прикрепляет скан-копию документа, который необходимо направить к электронному письму.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45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Электронное письмо с вложением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Направить по электронной почте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направляет документ по электронной почте ЛУВД или иному участнику процесса.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46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направлен по E-mail.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направлен по E-mail.</w:t>
            </w:r>
            <w:r>
              <w:t xml:space="preserve"> Завершение процесса направления документа.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47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по делу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Сформировать отправление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формирует отправление для Почты России в ПК САД.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48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Реестр почтового отправления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Сформировать реестр отправки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формирует реестр отправки в ПК САД.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49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Упаковать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упаковывает отправление в конверт, заполняет конверт. После чего упакованное отправление предается сотруднику отдела делопроизводства для направления.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50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Закрыть реестр отправки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>
              <w:t xml:space="preserve"> закрывает реестр отправки в ИС суда с занесением всех данных в систему, если документ направляется через Почту России. Конверт на Почту России будет доставлен ответственным сотрудником Отдела делопроизводства.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51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Передать в Почту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>
              <w:t xml:space="preserve"> передает отправление в Почту России.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52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канцелярии/экспедиции/отдела делопроизводства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направлен по Почте России</w:t>
            </w:r>
            <w:r>
              <w:t xml:space="preserve">. Завершающее событие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направлен по Почте России</w:t>
            </w:r>
            <w:r>
              <w:t xml:space="preserve">. Завершение процесса направления документа.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53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Сформированное отправление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Сформировать отправление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формирует отправление для гибридной почты в ИС суда (ПК САД) для последующего направления получателю.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54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Сформированное отправление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Сформировать отправление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 н</w:t>
            </w:r>
            <w:r>
              <w:t xml:space="preserve">аправ</w:t>
            </w:r>
            <w:r>
              <w:t xml:space="preserve">ляет</w:t>
            </w:r>
            <w:r>
              <w:t xml:space="preserve"> отправление в центр гибридной почты</w:t>
            </w:r>
            <w:r>
              <w:t xml:space="preserve"> для последующего направления ЛУВД или иному участнику процесса.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55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Помощник/секретарь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направлен гибридной почтой.</w:t>
            </w:r>
            <w:r>
              <w:t xml:space="preserve"> Завершающее событие.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направлен гибридной почтой.</w:t>
            </w:r>
            <w:r>
              <w:t xml:space="preserve"> Завершение процесса направления документа для суда.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56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Отправление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Получить отправление. Стартовое событие.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 получает отправление от суда.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57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Направить гибридной почтой? Эксклюзивный шлюз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 должен направить отправление гибридной почтой?</w:t>
            </w:r>
            <w:r>
              <w:br/>
              <w:t xml:space="preserve">Если «Да», то переход к шагу 59 процесса.</w:t>
            </w:r>
            <w:r>
              <w:br/>
              <w:t xml:space="preserve">Если «Нет», то переход к шагу 58 процесса.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58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Обработать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 обрабатывает отправление.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59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Распечатать отправление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 распечатывает отправление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60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Упаковать в конверт или </w:t>
            </w:r>
            <w:r>
              <w:t xml:space="preserve">мейлировать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 упаковывает отправление в конверт или </w:t>
            </w:r>
            <w:r>
              <w:t xml:space="preserve">мейлирует</w:t>
            </w:r>
            <w:r>
              <w:t xml:space="preserve"> его.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61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Закрывающий шлюз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Закрывающий шлюз для шага 57 процесса.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62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Почтовый конверт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Вручить получателю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>
              <w:t xml:space="preserve"> вручает отправление получателю.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63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Сотрудник Почты России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вручен получателю</w:t>
            </w:r>
            <w:r>
              <w:t xml:space="preserve">. Завершающее событие.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31"/>
            </w:pPr>
            <w:r>
              <w:t xml:space="preserve">Документ вручен получателю</w:t>
            </w:r>
            <w:r>
              <w:t xml:space="preserve">. Завершение процесса направления документа.</w:t>
            </w:r>
            <w:r/>
          </w:p>
        </w:tc>
      </w:tr>
    </w:tbl>
    <w:p>
      <w:pPr>
        <w:pStyle w:val="635"/>
      </w:pPr>
      <w:r/>
      <w:r/>
    </w:p>
    <w:sectPr>
      <w:footnotePr/>
      <w:endnotePr/>
      <w:type w:val="nextPage"/>
      <w:pgSz w:w="23811" w:h="16838" w:orient="landscape"/>
      <w:pgMar w:top="1440" w:right="1440" w:bottom="1440" w:left="1440" w:header="720" w:footer="720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24"/>
    <w:link w:val="621"/>
    <w:uiPriority w:val="9"/>
    <w:rPr>
      <w:rFonts w:ascii="Arial" w:hAnsi="Arial" w:eastAsia="Arial" w:cs="Arial"/>
      <w:sz w:val="40"/>
      <w:szCs w:val="40"/>
    </w:rPr>
  </w:style>
  <w:style w:type="character" w:styleId="16">
    <w:name w:val="Heading 2 Char"/>
    <w:basedOn w:val="624"/>
    <w:link w:val="622"/>
    <w:uiPriority w:val="9"/>
    <w:rPr>
      <w:rFonts w:ascii="Arial" w:hAnsi="Arial" w:eastAsia="Arial" w:cs="Arial"/>
      <w:sz w:val="34"/>
    </w:rPr>
  </w:style>
  <w:style w:type="character" w:styleId="18">
    <w:name w:val="Heading 3 Char"/>
    <w:basedOn w:val="624"/>
    <w:link w:val="623"/>
    <w:uiPriority w:val="9"/>
    <w:rPr>
      <w:rFonts w:ascii="Arial" w:hAnsi="Arial" w:eastAsia="Arial" w:cs="Arial"/>
      <w:sz w:val="30"/>
      <w:szCs w:val="30"/>
    </w:rPr>
  </w:style>
  <w:style w:type="paragraph" w:styleId="19">
    <w:name w:val="Heading 4"/>
    <w:basedOn w:val="620"/>
    <w:next w:val="620"/>
    <w:link w:val="2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24"/>
    <w:link w:val="19"/>
    <w:uiPriority w:val="9"/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20"/>
    <w:next w:val="620"/>
    <w:link w:val="2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24"/>
    <w:link w:val="21"/>
    <w:uiPriority w:val="9"/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20"/>
    <w:next w:val="620"/>
    <w:link w:val="2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24"/>
    <w:link w:val="2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20"/>
    <w:next w:val="620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24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20"/>
    <w:next w:val="620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24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20"/>
    <w:next w:val="620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24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1">
    <w:name w:val="List Paragraph"/>
    <w:basedOn w:val="620"/>
    <w:uiPriority w:val="34"/>
    <w:qFormat/>
    <w:pPr>
      <w:contextualSpacing/>
      <w:ind w:left="720"/>
    </w:pPr>
  </w:style>
  <w:style w:type="paragraph" w:styleId="33">
    <w:name w:val="No Spacing"/>
    <w:uiPriority w:val="1"/>
    <w:qFormat/>
    <w:pPr>
      <w:spacing w:before="0" w:after="0" w:line="240" w:lineRule="auto"/>
    </w:pPr>
  </w:style>
  <w:style w:type="paragraph" w:styleId="34">
    <w:name w:val="Title"/>
    <w:basedOn w:val="620"/>
    <w:next w:val="620"/>
    <w:link w:val="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5">
    <w:name w:val="Title Char"/>
    <w:basedOn w:val="624"/>
    <w:link w:val="34"/>
    <w:uiPriority w:val="10"/>
    <w:rPr>
      <w:sz w:val="48"/>
      <w:szCs w:val="48"/>
    </w:rPr>
  </w:style>
  <w:style w:type="paragraph" w:styleId="36">
    <w:name w:val="Subtitle"/>
    <w:basedOn w:val="620"/>
    <w:next w:val="620"/>
    <w:link w:val="37"/>
    <w:uiPriority w:val="11"/>
    <w:qFormat/>
    <w:pPr>
      <w:spacing w:before="200" w:after="200"/>
    </w:pPr>
    <w:rPr>
      <w:sz w:val="24"/>
      <w:szCs w:val="24"/>
    </w:rPr>
  </w:style>
  <w:style w:type="character" w:styleId="37">
    <w:name w:val="Subtitle Char"/>
    <w:basedOn w:val="624"/>
    <w:link w:val="36"/>
    <w:uiPriority w:val="11"/>
    <w:rPr>
      <w:sz w:val="24"/>
      <w:szCs w:val="24"/>
    </w:rPr>
  </w:style>
  <w:style w:type="paragraph" w:styleId="38">
    <w:name w:val="Quote"/>
    <w:basedOn w:val="620"/>
    <w:next w:val="620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20"/>
    <w:next w:val="620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20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624"/>
    <w:link w:val="42"/>
    <w:uiPriority w:val="99"/>
  </w:style>
  <w:style w:type="paragraph" w:styleId="44">
    <w:name w:val="Footer"/>
    <w:basedOn w:val="620"/>
    <w:link w:val="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624"/>
    <w:link w:val="44"/>
    <w:uiPriority w:val="99"/>
  </w:style>
  <w:style w:type="paragraph" w:styleId="46">
    <w:name w:val="Caption"/>
    <w:basedOn w:val="620"/>
    <w:next w:val="62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</w:style>
  <w:style w:type="table" w:styleId="48">
    <w:name w:val="Table Grid"/>
    <w:basedOn w:val="625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2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2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25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2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2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c2e6f5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c2e6f5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19749a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2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1a8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2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196c2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2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60cbf3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2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2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bfe4f4" w:themeFill="accent1" w:themeFillTint="34"/>
    </w:tblPr>
    <w:tblStylePr w:type="band1Horz">
      <w:tcPr>
        <w:shd w:val="clear" w:color="ffffff" w:themeColor="accent1" w:themeTint="75" w:fill="70c4e7" w:themeFill="accent1" w:themeFillTint="75"/>
      </w:tcPr>
    </w:tblStylePr>
    <w:tblStylePr w:type="band1Vert">
      <w:tcPr>
        <w:shd w:val="clear" w:color="ffffff" w:themeColor="accent1" w:themeTint="75" w:fill="70c4e7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ae2d7" w:themeFill="accent2" w:themeFillTint="32"/>
    </w:tblPr>
    <w:tblStylePr w:type="band1Horz">
      <w:tcPr>
        <w:shd w:val="clear" w:color="ffffff" w:themeColor="accent2" w:themeTint="75" w:fill="f4bca1" w:themeFill="accent2" w:themeFillTint="75"/>
      </w:tcPr>
    </w:tblStylePr>
    <w:tblStylePr w:type="band1Vert">
      <w:tcPr>
        <w:shd w:val="clear" w:color="ffffff" w:themeColor="accent2" w:themeTint="75" w:fill="f4bc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bff0c5" w:themeFill="accent3" w:themeFillTint="34"/>
    </w:tblPr>
    <w:tblStylePr w:type="band1Horz">
      <w:tcPr>
        <w:shd w:val="clear" w:color="ffffff" w:themeColor="accent3" w:themeTint="75" w:fill="72dd7e" w:themeFill="accent3" w:themeFillTint="75"/>
      </w:tcPr>
    </w:tblStylePr>
    <w:tblStylePr w:type="band1Vert">
      <w:tcPr>
        <w:shd w:val="clear" w:color="ffffff" w:themeColor="accent3" w:themeTint="75" w:fill="72dd7e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8edfb" w:themeFill="accent4" w:themeFillTint="34"/>
    </w:tblPr>
    <w:tblStylePr w:type="band1Horz">
      <w:tcPr>
        <w:shd w:val="clear" w:color="ffffff" w:themeColor="accent4" w:themeTint="75" w:fill="85d7f6" w:themeFill="accent4" w:themeFillTint="75"/>
      </w:tcPr>
    </w:tblStylePr>
    <w:tblStylePr w:type="band1Vert">
      <w:tcPr>
        <w:shd w:val="clear" w:color="ffffff" w:themeColor="accent4" w:themeTint="75" w:fill="85d7f6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1ceed" w:themeFill="accent5" w:themeFillTint="34"/>
    </w:tblPr>
    <w:tblStylePr w:type="band1Horz">
      <w:tcPr>
        <w:shd w:val="clear" w:color="ffffff" w:themeColor="accent5" w:themeTint="75" w:fill="e08fd8" w:themeFill="accent5" w:themeFillTint="75"/>
      </w:tcPr>
    </w:tblStylePr>
    <w:tblStylePr w:type="band1Vert">
      <w:tcPr>
        <w:shd w:val="clear" w:color="ffffff" w:themeColor="accent5" w:themeTint="75" w:fill="e08fd8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1d0" w:themeFill="accent6" w:themeFillTint="34"/>
    </w:tblPr>
    <w:tblStylePr w:type="band1Horz">
      <w:tcPr>
        <w:shd w:val="clear" w:color="ffffff" w:themeColor="accent6" w:themeTint="75" w:fill="aae194" w:themeFill="accent6" w:themeFillTint="75"/>
      </w:tcPr>
    </w:tblStylePr>
    <w:tblStylePr w:type="band1Vert">
      <w:tcPr>
        <w:shd w:val="clear" w:color="ffffff" w:themeColor="accent6" w:themeTint="75" w:fill="aae194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tcPr>
        <w:shd w:val="clear" w:color="ffffff" w:themeColor="accent1" w:themeTint="34" w:fill="bfe4f4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1b7ca4" w:themeColor="accent1" w:themeTint="80" w:themeShade="95"/>
      </w:rPr>
    </w:tblStylePr>
    <w:tblStylePr w:type="firstRow">
      <w:rPr>
        <w:b/>
        <w:color w:val="1b7ca4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ca4" w:themeColor="accent1" w:themeTint="80" w:themeShade="95"/>
      </w:rPr>
    </w:tblStylePr>
    <w:tblStylePr w:type="lastRow">
      <w:rPr>
        <w:b/>
        <w:color w:val="1b7ca4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tcPr>
        <w:shd w:val="clear" w:color="ffffff" w:themeColor="accent2" w:themeTint="32" w:fill="fae2d7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34f16" w:themeColor="accent2" w:themeTint="97" w:themeShade="95"/>
      </w:rPr>
    </w:tblStylePr>
    <w:tblStylePr w:type="firstRow">
      <w:rPr>
        <w:b/>
        <w:color w:val="c34f16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34f16" w:themeColor="accent2" w:themeTint="97" w:themeShade="95"/>
      </w:rPr>
    </w:tblStylePr>
    <w:tblStylePr w:type="lastRow">
      <w:rPr>
        <w:b/>
        <w:color w:val="c34f16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tcPr>
        <w:shd w:val="clear" w:color="ffffff" w:themeColor="accent3" w:themeTint="34" w:fill="bff0c5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0e3f14" w:themeColor="accent3" w:themeTint="FE" w:themeShade="95"/>
      </w:rPr>
    </w:tblStylePr>
    <w:tblStylePr w:type="firstRow">
      <w:rPr>
        <w:b/>
        <w:color w:val="0e3f14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e3f14" w:themeColor="accent3" w:themeTint="FE" w:themeShade="95"/>
      </w:rPr>
    </w:tblStylePr>
    <w:tblStylePr w:type="lastRow">
      <w:rPr>
        <w:b/>
        <w:color w:val="0e3f14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tcPr>
        <w:shd w:val="clear" w:color="ffffff" w:themeColor="accent4" w:themeTint="34" w:fill="c8edf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0d8ab8" w:themeColor="accent4" w:themeTint="9A" w:themeShade="95"/>
      </w:rPr>
    </w:tblStylePr>
    <w:tblStylePr w:type="firstRow">
      <w:rPr>
        <w:b/>
        <w:color w:val="0d8ab8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8" w:themeColor="accent4" w:themeTint="9A" w:themeShade="95"/>
      </w:rPr>
    </w:tblStylePr>
    <w:tblStylePr w:type="lastRow">
      <w:rPr>
        <w:b/>
        <w:color w:val="0d8ab8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tcPr>
        <w:shd w:val="clear" w:color="ffffff" w:themeColor="accent5" w:themeTint="34" w:fill="f1ceed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5c1955" w:themeColor="accent5" w:themeShade="95"/>
      </w:rPr>
    </w:tblStylePr>
    <w:tblStylePr w:type="firstRow">
      <w:rPr>
        <w:b/>
        <w:color w:val="5c1955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c1955" w:themeColor="accent5" w:themeShade="95"/>
      </w:rPr>
    </w:tblStylePr>
    <w:tblStylePr w:type="lastRow">
      <w:rPr>
        <w:b/>
        <w:color w:val="5c195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tcPr>
        <w:shd w:val="clear" w:color="ffffff" w:themeColor="accent6" w:themeTint="34" w:fill="d9f1d0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5c1955" w:themeColor="accent5" w:themeShade="95"/>
      </w:rPr>
    </w:tblStylePr>
    <w:tblStylePr w:type="firstRow">
      <w:rPr>
        <w:b/>
        <w:color w:val="5c1955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c1955" w:themeColor="accent5" w:themeShade="95"/>
      </w:rPr>
    </w:tblStylePr>
    <w:tblStylePr w:type="lastRow">
      <w:rPr>
        <w:b/>
        <w:color w:val="5c195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1b7ca4" w:themeColor="accent1" w:themeTint="80" w:themeShade="95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tcPr>
        <w:shd w:val="clear" w:color="ffffff" w:themeColor="accent1" w:themeTint="34" w:fill="bfe4f4" w:themeFill="accent1" w:themeFillTint="34"/>
      </w:tcPr>
    </w:tblStylePr>
    <w:tblStylePr w:type="band2Horz">
      <w:rPr>
        <w:rFonts w:ascii="Arial" w:hAnsi="Arial"/>
        <w:color w:val="1b7ca4" w:themeColor="accent1" w:themeTint="80" w:themeShade="95"/>
        <w:sz w:val="22"/>
      </w:rPr>
    </w:tblStylePr>
    <w:tblStylePr w:type="firstCol">
      <w:rPr>
        <w:rFonts w:ascii="Arial" w:hAnsi="Arial"/>
        <w:i/>
        <w:color w:val="1b7ca4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ca4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ca4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ca4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34f16" w:themeColor="accent2" w:themeTint="97" w:themeShade="95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tcPr>
        <w:shd w:val="clear" w:color="ffffff" w:themeColor="accent2" w:themeTint="32" w:fill="fae2d7" w:themeFill="accent2" w:themeFillTint="32"/>
      </w:tcPr>
    </w:tblStylePr>
    <w:tblStylePr w:type="band2Horz">
      <w:rPr>
        <w:rFonts w:ascii="Arial" w:hAnsi="Arial"/>
        <w:color w:val="c34f16" w:themeColor="accent2" w:themeTint="97" w:themeShade="95"/>
        <w:sz w:val="22"/>
      </w:rPr>
    </w:tblStylePr>
    <w:tblStylePr w:type="firstCol">
      <w:rPr>
        <w:rFonts w:ascii="Arial" w:hAnsi="Arial"/>
        <w:i/>
        <w:color w:val="c34f16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34f16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0e3f14" w:themeColor="accent3" w:themeTint="FE" w:themeShade="95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tcPr>
        <w:shd w:val="clear" w:color="ffffff" w:themeColor="accent3" w:themeTint="34" w:fill="bff0c5" w:themeFill="accent3" w:themeFillTint="34"/>
      </w:tcPr>
    </w:tblStylePr>
    <w:tblStylePr w:type="band2Horz">
      <w:rPr>
        <w:rFonts w:ascii="Arial" w:hAnsi="Arial"/>
        <w:color w:val="0e3f14" w:themeColor="accent3" w:themeTint="FE" w:themeShade="95"/>
        <w:sz w:val="22"/>
      </w:rPr>
    </w:tblStylePr>
    <w:tblStylePr w:type="firstCol">
      <w:rPr>
        <w:rFonts w:ascii="Arial" w:hAnsi="Arial"/>
        <w:i/>
        <w:color w:val="0e3f14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e3f14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e3f14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e3f14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0d8ab8" w:themeColor="accent4" w:themeTint="9A" w:themeShade="95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tcPr>
        <w:shd w:val="clear" w:color="ffffff" w:themeColor="accent4" w:themeTint="34" w:fill="c8edfb" w:themeFill="accent4" w:themeFillTint="34"/>
      </w:tcPr>
    </w:tblStylePr>
    <w:tblStylePr w:type="band2Horz">
      <w:rPr>
        <w:rFonts w:ascii="Arial" w:hAnsi="Arial"/>
        <w:color w:val="0d8ab8" w:themeColor="accent4" w:themeTint="9A" w:themeShade="95"/>
        <w:sz w:val="22"/>
      </w:rPr>
    </w:tblStylePr>
    <w:tblStylePr w:type="firstCol">
      <w:rPr>
        <w:rFonts w:ascii="Arial" w:hAnsi="Arial"/>
        <w:i/>
        <w:color w:val="0d8ab8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8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5c1955" w:themeColor="accent5" w:themeShade="95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tcPr>
        <w:shd w:val="clear" w:color="ffffff" w:themeColor="accent5" w:themeTint="34" w:fill="f1ceed" w:themeFill="accent5" w:themeFillTint="34"/>
      </w:tcPr>
    </w:tblStylePr>
    <w:tblStylePr w:type="band2Horz">
      <w:rPr>
        <w:rFonts w:ascii="Arial" w:hAnsi="Arial"/>
        <w:color w:val="5c1955" w:themeColor="accent5" w:themeShade="95"/>
        <w:sz w:val="22"/>
      </w:rPr>
    </w:tblStylePr>
    <w:tblStylePr w:type="firstCol">
      <w:rPr>
        <w:rFonts w:ascii="Arial" w:hAnsi="Arial"/>
        <w:i/>
        <w:color w:val="5c1955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c1955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c1955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1955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2e611a" w:themeColor="accent6" w:themeShade="95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tcPr>
        <w:shd w:val="clear" w:color="ffffff" w:themeColor="accent6" w:themeTint="34" w:fill="d9f1d0" w:themeFill="accent6" w:themeFillTint="34"/>
      </w:tcPr>
    </w:tblStylePr>
    <w:tblStylePr w:type="band2Horz">
      <w:rPr>
        <w:rFonts w:ascii="Arial" w:hAnsi="Arial"/>
        <w:color w:val="2e611a" w:themeColor="accent6" w:themeShade="95"/>
        <w:sz w:val="22"/>
      </w:rPr>
    </w:tblStylePr>
    <w:tblStylePr w:type="firstCol">
      <w:rPr>
        <w:rFonts w:ascii="Arial" w:hAnsi="Arial"/>
        <w:i/>
        <w:color w:val="2e611a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11a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11a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11a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47d458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d76cc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90d873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blStylePr w:type="band1Horz"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1a884" w:themeFill="accent2" w:themeFillTint="97"/>
    </w:tblPr>
    <w:tblStylePr w:type="band1Horz">
      <w:tcPr>
        <w:shd w:val="clear" w:color="ffffff" w:themeColor="accent2" w:themeTint="97" w:fill="f1a8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1a8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1a8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1a8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7d458" w:themeFill="accent3" w:themeFillTint="98"/>
    </w:tblPr>
    <w:tblStylePr w:type="band1Horz">
      <w:tcPr>
        <w:shd w:val="clear" w:color="ffffff" w:themeColor="accent3" w:themeTint="98" w:fill="47d45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47d458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47d45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47d458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3" w:themeFill="accent4" w:themeFillTint="9A"/>
    </w:tblPr>
    <w:tblStylePr w:type="band1Horz">
      <w:tcPr>
        <w:shd w:val="clear" w:color="ffffff" w:themeColor="accent4" w:themeTint="9A" w:fill="60cbf3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60cbf3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60cbf3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60cbf3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76ccb" w:themeFill="accent5" w:themeFillTint="9A"/>
    </w:tblPr>
    <w:tblStylePr w:type="band1Horz">
      <w:tcPr>
        <w:shd w:val="clear" w:color="ffffff" w:themeColor="accent5" w:themeTint="9A" w:fill="d76cc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d76cc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d76cc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d76cc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90d873" w:themeFill="accent6" w:themeFillTint="98"/>
    </w:tblPr>
    <w:tblStylePr w:type="band1Horz">
      <w:tcPr>
        <w:shd w:val="clear" w:color="ffffff" w:themeColor="accent6" w:themeTint="98" w:fill="90d8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90d873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90d8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90d873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0c394b" w:themeColor="accent1" w:themeShade="95"/>
      </w:rPr>
    </w:tblStylePr>
    <w:tblStylePr w:type="firstRow">
      <w:rPr>
        <w:b/>
        <w:color w:val="0c394b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94b" w:themeColor="accent1" w:themeShade="95"/>
      </w:rPr>
    </w:tblStylePr>
    <w:tblStylePr w:type="lastRow">
      <w:rPr>
        <w:b/>
        <w:color w:val="0c394b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34f16" w:themeColor="accent2" w:themeTint="97" w:themeShade="95"/>
      </w:rPr>
    </w:tblStylePr>
    <w:tblStylePr w:type="firstRow">
      <w:rPr>
        <w:b/>
        <w:color w:val="c34f16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34f16" w:themeColor="accent2" w:themeTint="97" w:themeShade="95"/>
      </w:rPr>
    </w:tblStylePr>
    <w:tblStylePr w:type="lastRow">
      <w:rPr>
        <w:b/>
        <w:color w:val="c34f16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1f842b" w:themeColor="accent3" w:themeTint="98" w:themeShade="95"/>
      </w:rPr>
    </w:tblStylePr>
    <w:tblStylePr w:type="firstRow">
      <w:rPr>
        <w:b/>
        <w:color w:val="1f842b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1f842b" w:themeColor="accent3" w:themeTint="98" w:themeShade="95"/>
      </w:rPr>
    </w:tblStylePr>
    <w:tblStylePr w:type="lastRow">
      <w:rPr>
        <w:b/>
        <w:color w:val="1f842b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0d8ab8" w:themeColor="accent4" w:themeTint="9A" w:themeShade="95"/>
      </w:rPr>
    </w:tblStylePr>
    <w:tblStylePr w:type="firstRow">
      <w:rPr>
        <w:b/>
        <w:color w:val="0d8ab8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8" w:themeColor="accent4" w:themeTint="9A" w:themeShade="95"/>
      </w:rPr>
    </w:tblStylePr>
    <w:tblStylePr w:type="lastRow">
      <w:rPr>
        <w:b/>
        <w:color w:val="0d8ab8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932888" w:themeColor="accent5" w:themeTint="9A" w:themeShade="95"/>
      </w:rPr>
    </w:tblStylePr>
    <w:tblStylePr w:type="firstRow">
      <w:rPr>
        <w:b/>
        <w:color w:val="932888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32888" w:themeColor="accent5" w:themeTint="9A" w:themeShade="95"/>
      </w:rPr>
    </w:tblStylePr>
    <w:tblStylePr w:type="lastRow">
      <w:rPr>
        <w:b/>
        <w:color w:val="932888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4b952a" w:themeColor="accent6" w:themeTint="98" w:themeShade="95"/>
      </w:rPr>
    </w:tblStylePr>
    <w:tblStylePr w:type="firstRow">
      <w:rPr>
        <w:b/>
        <w:color w:val="4b952a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b952a" w:themeColor="accent6" w:themeTint="98" w:themeShade="95"/>
      </w:rPr>
    </w:tblStylePr>
    <w:tblStylePr w:type="lastRow">
      <w:rPr>
        <w:b/>
        <w:color w:val="4b952a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0c394b" w:themeColor="accent1" w:themeShade="95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band2Horz">
      <w:rPr>
        <w:rFonts w:ascii="Arial" w:hAnsi="Arial"/>
        <w:color w:val="0c394b" w:themeColor="accent1" w:themeShade="95"/>
        <w:sz w:val="22"/>
      </w:rPr>
    </w:tblStylePr>
    <w:tblStylePr w:type="firstCol">
      <w:rPr>
        <w:rFonts w:ascii="Arial" w:hAnsi="Arial"/>
        <w:i/>
        <w:color w:val="0c394b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94b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94b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94b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0c394b" w:themeColor="accent1" w:themeShade="95"/>
        <w:sz w:val="22"/>
      </w:rPr>
    </w:tblStylePr>
  </w:style>
  <w:style w:type="table" w:styleId="148">
    <w:name w:val="List Table 7 Colorful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34f16" w:themeColor="accent2" w:themeTint="97" w:themeShade="95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band2Horz">
      <w:rPr>
        <w:rFonts w:ascii="Arial" w:hAnsi="Arial"/>
        <w:color w:val="c34f16" w:themeColor="accent2" w:themeTint="97" w:themeShade="95"/>
        <w:sz w:val="22"/>
      </w:rPr>
    </w:tblStylePr>
    <w:tblStylePr w:type="firstCol">
      <w:rPr>
        <w:rFonts w:ascii="Arial" w:hAnsi="Arial"/>
        <w:i/>
        <w:color w:val="c34f16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34f16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34f16" w:themeColor="accent2" w:themeTint="97" w:themeShade="95"/>
        <w:sz w:val="22"/>
      </w:rPr>
    </w:tblStylePr>
  </w:style>
  <w:style w:type="table" w:styleId="149">
    <w:name w:val="List Table 7 Colorful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1f842b" w:themeColor="accent3" w:themeTint="98" w:themeShade="95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band2Horz">
      <w:rPr>
        <w:rFonts w:ascii="Arial" w:hAnsi="Arial"/>
        <w:color w:val="1f842b" w:themeColor="accent3" w:themeTint="98" w:themeShade="95"/>
        <w:sz w:val="22"/>
      </w:rPr>
    </w:tblStylePr>
    <w:tblStylePr w:type="firstCol">
      <w:rPr>
        <w:rFonts w:ascii="Arial" w:hAnsi="Arial"/>
        <w:i/>
        <w:color w:val="1f842b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1f842b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1f842b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1f842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1f842b" w:themeColor="accent3" w:themeTint="98" w:themeShade="95"/>
        <w:sz w:val="22"/>
      </w:rPr>
    </w:tblStylePr>
  </w:style>
  <w:style w:type="table" w:styleId="150">
    <w:name w:val="List Table 7 Colorful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0d8ab8" w:themeColor="accent4" w:themeTint="9A" w:themeShade="95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band2Horz">
      <w:rPr>
        <w:rFonts w:ascii="Arial" w:hAnsi="Arial"/>
        <w:color w:val="0d8ab8" w:themeColor="accent4" w:themeTint="9A" w:themeShade="95"/>
        <w:sz w:val="22"/>
      </w:rPr>
    </w:tblStylePr>
    <w:tblStylePr w:type="firstCol">
      <w:rPr>
        <w:rFonts w:ascii="Arial" w:hAnsi="Arial"/>
        <w:i/>
        <w:color w:val="0d8ab8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8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0d8ab8" w:themeColor="accent4" w:themeTint="9A" w:themeShade="95"/>
        <w:sz w:val="22"/>
      </w:rPr>
    </w:tblStylePr>
  </w:style>
  <w:style w:type="table" w:styleId="151">
    <w:name w:val="List Table 7 Colorful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932888" w:themeColor="accent5" w:themeTint="9A" w:themeShade="95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band2Horz">
      <w:rPr>
        <w:rFonts w:ascii="Arial" w:hAnsi="Arial"/>
        <w:color w:val="932888" w:themeColor="accent5" w:themeTint="9A" w:themeShade="95"/>
        <w:sz w:val="22"/>
      </w:rPr>
    </w:tblStylePr>
    <w:tblStylePr w:type="firstCol">
      <w:rPr>
        <w:rFonts w:ascii="Arial" w:hAnsi="Arial"/>
        <w:i/>
        <w:color w:val="932888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32888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32888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32888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932888" w:themeColor="accent5" w:themeTint="9A" w:themeShade="95"/>
        <w:sz w:val="22"/>
      </w:rPr>
    </w:tblStylePr>
  </w:style>
  <w:style w:type="table" w:styleId="152">
    <w:name w:val="List Table 7 Colorful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b952a" w:themeColor="accent6" w:themeTint="98" w:themeShade="95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band2Horz">
      <w:rPr>
        <w:rFonts w:ascii="Arial" w:hAnsi="Arial"/>
        <w:color w:val="4b952a" w:themeColor="accent6" w:themeTint="98" w:themeShade="95"/>
        <w:sz w:val="22"/>
      </w:rPr>
    </w:tblStylePr>
    <w:tblStylePr w:type="firstCol">
      <w:rPr>
        <w:rFonts w:ascii="Arial" w:hAnsi="Arial"/>
        <w:i/>
        <w:color w:val="4b952a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b952a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b952a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b952a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b952a" w:themeColor="accent6" w:themeTint="98" w:themeShade="95"/>
        <w:sz w:val="22"/>
      </w:rPr>
    </w:tblStylePr>
  </w:style>
  <w:style w:type="table" w:styleId="153">
    <w:name w:val="Lined - Accent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</w:style>
  <w:style w:type="table" w:styleId="155">
    <w:name w:val="Lined - Accent 2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</w:style>
  <w:style w:type="table" w:styleId="156">
    <w:name w:val="Lined - Accent 3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</w:style>
  <w:style w:type="table" w:styleId="157">
    <w:name w:val="Lined - Accent 4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</w:style>
  <w:style w:type="table" w:styleId="158">
    <w:name w:val="Lined - Accent 5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</w:style>
  <w:style w:type="table" w:styleId="159">
    <w:name w:val="Lined - Accent 6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</w:style>
  <w:style w:type="table" w:styleId="160">
    <w:name w:val="Bordered &amp; Lined - Accent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</w:style>
  <w:style w:type="table" w:styleId="162">
    <w:name w:val="Bordered &amp; Lined - Accent 2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</w:style>
  <w:style w:type="table" w:styleId="163">
    <w:name w:val="Bordered &amp; Lined - Accent 3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</w:style>
  <w:style w:type="table" w:styleId="164">
    <w:name w:val="Bordered &amp; Lined - Accent 4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</w:style>
  <w:style w:type="table" w:styleId="165">
    <w:name w:val="Bordered &amp; Lined - Accent 5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</w:style>
  <w:style w:type="table" w:styleId="166">
    <w:name w:val="Bordered &amp; Lined - Accent 6"/>
    <w:basedOn w:val="62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</w:style>
  <w:style w:type="table" w:styleId="167">
    <w:name w:val="Bordered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2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5">
    <w:name w:val="footnote text"/>
    <w:basedOn w:val="620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624"/>
    <w:uiPriority w:val="99"/>
    <w:unhideWhenUsed/>
    <w:rPr>
      <w:vertAlign w:val="superscript"/>
    </w:rPr>
  </w:style>
  <w:style w:type="paragraph" w:styleId="178">
    <w:name w:val="endnote text"/>
    <w:basedOn w:val="620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624"/>
    <w:uiPriority w:val="99"/>
    <w:semiHidden/>
    <w:unhideWhenUsed/>
    <w:rPr>
      <w:vertAlign w:val="superscript"/>
    </w:rPr>
  </w:style>
  <w:style w:type="paragraph" w:styleId="181">
    <w:name w:val="toc 1"/>
    <w:basedOn w:val="620"/>
    <w:next w:val="620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20"/>
    <w:next w:val="620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20"/>
    <w:next w:val="620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20"/>
    <w:next w:val="620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20"/>
    <w:next w:val="620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20"/>
    <w:next w:val="620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20"/>
    <w:next w:val="620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20"/>
    <w:next w:val="620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20"/>
    <w:next w:val="620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620"/>
    <w:next w:val="620"/>
    <w:uiPriority w:val="99"/>
    <w:unhideWhenUsed/>
    <w:pPr>
      <w:spacing w:after="0" w:afterAutospacing="0"/>
    </w:pPr>
  </w:style>
  <w:style w:type="paragraph" w:styleId="620" w:default="1">
    <w:name w:val="Normal"/>
    <w:qFormat/>
    <w:rPr>
      <w:rFonts w:eastAsiaTheme="minorEastAsia"/>
      <w:sz w:val="24"/>
      <w:szCs w:val="24"/>
    </w:rPr>
  </w:style>
  <w:style w:type="paragraph" w:styleId="621">
    <w:name w:val="Heading 1"/>
    <w:basedOn w:val="620"/>
    <w:link w:val="628"/>
    <w:uiPriority w:val="9"/>
    <w:qFormat/>
    <w:pPr>
      <w:spacing w:before="100" w:beforeAutospacing="1" w:after="100" w:afterAutospacing="1"/>
      <w:outlineLvl w:val="0"/>
    </w:pPr>
    <w:rPr>
      <w:b/>
      <w:bCs/>
      <w:sz w:val="48"/>
      <w:szCs w:val="48"/>
    </w:rPr>
  </w:style>
  <w:style w:type="paragraph" w:styleId="622">
    <w:name w:val="Heading 2"/>
    <w:basedOn w:val="620"/>
    <w:link w:val="629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623">
    <w:name w:val="Heading 3"/>
    <w:basedOn w:val="620"/>
    <w:link w:val="632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styleId="624" w:default="1">
    <w:name w:val="Default Paragraph Font"/>
    <w:uiPriority w:val="1"/>
    <w:semiHidden/>
    <w:unhideWhenUsed/>
  </w:style>
  <w:style w:type="table" w:styleId="62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26" w:default="1">
    <w:name w:val="No List"/>
    <w:uiPriority w:val="99"/>
    <w:semiHidden/>
    <w:unhideWhenUsed/>
  </w:style>
  <w:style w:type="paragraph" w:styleId="627" w:customStyle="1">
    <w:name w:val="msonormal"/>
    <w:basedOn w:val="620"/>
    <w:pPr>
      <w:spacing w:before="100" w:beforeAutospacing="1" w:after="100" w:afterAutospacing="1"/>
    </w:pPr>
  </w:style>
  <w:style w:type="character" w:styleId="628" w:customStyle="1">
    <w:name w:val="Заголовок 1 Знак"/>
    <w:basedOn w:val="624"/>
    <w:link w:val="62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29" w:customStyle="1">
    <w:name w:val="Заголовок 2 Знак"/>
    <w:basedOn w:val="624"/>
    <w:link w:val="62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30">
    <w:name w:val="Strong"/>
    <w:basedOn w:val="624"/>
    <w:uiPriority w:val="22"/>
    <w:qFormat/>
    <w:rPr>
      <w:b/>
      <w:bCs/>
    </w:rPr>
  </w:style>
  <w:style w:type="paragraph" w:styleId="631">
    <w:name w:val="Normal (Web)"/>
    <w:basedOn w:val="620"/>
    <w:uiPriority w:val="99"/>
    <w:unhideWhenUsed/>
    <w:pPr>
      <w:spacing w:before="100" w:beforeAutospacing="1" w:after="100" w:afterAutospacing="1"/>
    </w:pPr>
  </w:style>
  <w:style w:type="character" w:styleId="632" w:customStyle="1">
    <w:name w:val="Заголовок 3 Знак"/>
    <w:basedOn w:val="624"/>
    <w:link w:val="623"/>
    <w:uiPriority w:val="9"/>
    <w:semiHidden/>
    <w:rPr>
      <w:rFonts w:asciiTheme="minorHAnsi" w:hAnsiTheme="minorHAnsi" w:eastAsiaTheme="majorEastAsia" w:cstheme="majorBidi"/>
      <w:color w:val="0f4761" w:themeColor="accent1" w:themeShade="BF"/>
      <w:sz w:val="28"/>
      <w:szCs w:val="28"/>
    </w:rPr>
  </w:style>
  <w:style w:type="paragraph" w:styleId="633" w:customStyle="1">
    <w:name w:val="auto-cursor-target"/>
    <w:basedOn w:val="620"/>
    <w:pPr>
      <w:spacing w:before="100" w:beforeAutospacing="1" w:after="100" w:afterAutospacing="1"/>
    </w:pPr>
  </w:style>
  <w:style w:type="character" w:styleId="634">
    <w:name w:val="Emphasis"/>
    <w:basedOn w:val="624"/>
    <w:uiPriority w:val="20"/>
    <w:qFormat/>
    <w:rPr>
      <w:i/>
      <w:iCs/>
    </w:rPr>
  </w:style>
  <w:style w:type="paragraph" w:styleId="635" w:customStyle="1">
    <w:name w:val="enh-settings"/>
    <w:basedOn w:val="620"/>
    <w:pPr>
      <w:spacing w:before="100" w:beforeAutospacing="1" w:after="100" w:afterAutospacing="1"/>
    </w:pPr>
  </w:style>
  <w:style w:type="character" w:styleId="636">
    <w:name w:val="Hyperlink"/>
    <w:basedOn w:val="624"/>
    <w:uiPriority w:val="99"/>
    <w:unhideWhenUsed/>
    <w:rPr>
      <w:color w:val="467886" w:themeColor="hyperlink"/>
      <w:u w:val="single"/>
    </w:rPr>
  </w:style>
  <w:style w:type="character" w:styleId="637">
    <w:name w:val="Unresolved Mention"/>
    <w:basedOn w:val="624"/>
    <w:uiPriority w:val="99"/>
    <w:semiHidden/>
    <w:unhideWhenUsed/>
    <w:rPr>
      <w:color w:val="605e5c"/>
      <w:shd w:val="clear" w:color="auto" w:fill="e1dfdd"/>
    </w:rPr>
  </w:style>
  <w:style w:type="character" w:styleId="638">
    <w:name w:val="FollowedHyperlink"/>
    <w:basedOn w:val="624"/>
    <w:uiPriority w:val="99"/>
    <w:semiHidden/>
    <w:unhideWhenUsed/>
    <w:rPr>
      <w:color w:val="96607d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itpm-wiki.mos.ru/pages/viewpage.action?pageId=553171783" TargetMode="External"/><Relationship Id="rId10" Type="http://schemas.openxmlformats.org/officeDocument/2006/relationships/hyperlink" Target="https://itpm-wiki.mos.ru/pages/viewpage.action?pageId=482562242" TargetMode="External"/><Relationship Id="rId11" Type="http://schemas.openxmlformats.org/officeDocument/2006/relationships/hyperlink" Target="https://itpm-wiki.mos.ru/pages/viewpage.action?pageId=482562270" TargetMode="External"/><Relationship Id="rId12" Type="http://schemas.openxmlformats.org/officeDocument/2006/relationships/hyperlink" Target="https://itpm-wiki.mos.ru/pages/viewpage.action?pageId=482562297" TargetMode="External"/><Relationship Id="rId13" Type="http://schemas.openxmlformats.org/officeDocument/2006/relationships/hyperlink" Target="https://itpm-wiki.mos.ru/pages/viewpage.action?pageId=482562353" TargetMode="External"/><Relationship Id="rId14" Type="http://schemas.openxmlformats.org/officeDocument/2006/relationships/hyperlink" Target="https://itpm-wiki.mos.ru/pages/viewpage.action?pageId=484788093" TargetMode="External"/><Relationship Id="rId15" Type="http://schemas.openxmlformats.org/officeDocument/2006/relationships/hyperlink" Target="https://itpm-wiki.mos.ru/pages/viewpage.action?pageId=553171752" TargetMode="External"/><Relationship Id="rId16" Type="http://schemas.openxmlformats.org/officeDocument/2006/relationships/hyperlink" Target="https://cloud.dit.mos.ru/apps/ditdocuments/s/wYj6atoLqNyErfJ?fileId=289256339" TargetMode="External"/><Relationship Id="rId17" Type="http://schemas.openxmlformats.org/officeDocument/2006/relationships/hyperlink" Target="https://cloud.dit.mos.ru/apps/ditdocuments/s/wYj6atoLqNyErfJ?fileId=289256339" TargetMode="External"/><Relationship Id="rId18" Type="http://schemas.openxmlformats.org/officeDocument/2006/relationships/hyperlink" Target="https://cloud.dit.mos.ru/apps/ditdocuments/s/wYj6atoLqNyErfJ?fileId=289256339" TargetMode="External"/><Relationship Id="rId19" Type="http://schemas.openxmlformats.org/officeDocument/2006/relationships/hyperlink" Target="https://cloud.dit.mos.ru/apps/ditdocuments/s/wYj6atoLqNyErfJ?fileId=289256339" TargetMode="External"/><Relationship Id="rId20" Type="http://schemas.openxmlformats.org/officeDocument/2006/relationships/hyperlink" Target="https://cloud.dit.mos.ru/apps/ditdocuments/s/wYj6atoLqNyErfJ?fileId=289256339" TargetMode="External"/><Relationship Id="rId21" Type="http://schemas.openxmlformats.org/officeDocument/2006/relationships/hyperlink" Target="https://cloud.dit.mos.ru/apps/ditdocuments/s/wYj6atoLqNyErfJ?fileId=289256339" TargetMode="External"/><Relationship Id="rId22" Type="http://schemas.openxmlformats.org/officeDocument/2006/relationships/hyperlink" Target="https://cloud.dit.mos.ru/apps/ditdocuments/s/wYj6atoLqNyErfJ?fileId=289256339" TargetMode="External"/><Relationship Id="rId23" Type="http://schemas.openxmlformats.org/officeDocument/2006/relationships/hyperlink" Target="https://cloud.dit.mos.ru/apps/ditdocuments/s/wYj6atoLqNyErfJ?fileId=289256339" TargetMode="External"/><Relationship Id="rId24" Type="http://schemas.openxmlformats.org/officeDocument/2006/relationships/hyperlink" Target="https://cloud.dit.mos.ru/apps/ditdocuments/s/wYj6atoLqNyErfJ?fileId=289256339" TargetMode="External"/><Relationship Id="rId25" Type="http://schemas.openxmlformats.org/officeDocument/2006/relationships/hyperlink" Target="https://cloud.dit.mos.ru/apps/ditdocuments/s/wYj6atoLqNyErfJ?fileId=289256339" TargetMode="External"/><Relationship Id="rId26" Type="http://schemas.openxmlformats.org/officeDocument/2006/relationships/hyperlink" Target="https://cloud.dit.mos.ru/apps/ditdocuments/s/wYj6atoLqNyErfJ?fileId=289256339" TargetMode="External"/><Relationship Id="rId27" Type="http://schemas.openxmlformats.org/officeDocument/2006/relationships/hyperlink" Target="https://cloud.dit.mos.ru/apps/ditdocuments/s/wYj6atoLqNyErfJ?fileId=289256339" TargetMode="External"/><Relationship Id="rId28" Type="http://schemas.openxmlformats.org/officeDocument/2006/relationships/hyperlink" Target="https://cloud.dit.mos.ru/apps/ditdocuments/s/wYj6atoLqNyErfJ?fileId=289256339" TargetMode="External"/><Relationship Id="rId29" Type="http://schemas.openxmlformats.org/officeDocument/2006/relationships/hyperlink" Target="https://cloud.dit.mos.ru/apps/ditdocuments/s/wYj6atoLqNyErfJ?fileId=289256339" TargetMode="External"/><Relationship Id="rId30" Type="http://schemas.openxmlformats.org/officeDocument/2006/relationships/hyperlink" Target="https://cloud.dit.mos.ru/apps/ditdocuments/s/wYj6atoLqNyErfJ?fileId=289256339" TargetMode="External"/><Relationship Id="rId31" Type="http://schemas.openxmlformats.org/officeDocument/2006/relationships/hyperlink" Target="https://cloud.dit.mos.ru/apps/ditdocuments/s/wYj6atoLqNyErfJ?fileId=289256339" TargetMode="External"/><Relationship Id="rId32" Type="http://schemas.openxmlformats.org/officeDocument/2006/relationships/hyperlink" Target="https://cloud.dit.mos.ru/apps/ditdocuments/s/wYj6atoLqNyErfJ?fileId=289256339" TargetMode="External"/><Relationship Id="rId33" Type="http://schemas.openxmlformats.org/officeDocument/2006/relationships/hyperlink" Target="https://cloud.dit.mos.ru/apps/ditdocuments/s/wYj6atoLqNyErfJ?fileId=289256339" TargetMode="External"/><Relationship Id="rId34" Type="http://schemas.openxmlformats.org/officeDocument/2006/relationships/hyperlink" Target="https://cloud.dit.mos.ru/apps/ditdocuments/s/wYj6atoLqNyErfJ?fileId=289256339" TargetMode="External"/><Relationship Id="rId35" Type="http://schemas.openxmlformats.org/officeDocument/2006/relationships/hyperlink" Target="https://itpm-wiki.mos.ru/pages/viewpage.action?pageId=533161398" TargetMode="External"/><Relationship Id="rId36" Type="http://schemas.openxmlformats.org/officeDocument/2006/relationships/hyperlink" Target="https://itpm-wiki.mos.ru/pages/viewpage.action?pageId=487497728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страницы судебного процесса As Is</dc:title>
  <dc:subject/>
  <dc:creator>Гончар Ксения Викторовна</dc:creator>
  <cp:keywords/>
  <dc:description/>
  <cp:lastModifiedBy>Настя Сотникова</cp:lastModifiedBy>
  <cp:revision>12</cp:revision>
  <dcterms:created xsi:type="dcterms:W3CDTF">2025-12-29T05:48:00Z</dcterms:created>
  <dcterms:modified xsi:type="dcterms:W3CDTF">2026-05-05T12:21:53Z</dcterms:modified>
</cp:coreProperties>
</file>