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869"/>
        <w:spacing w:before="86"/>
        <w:rPr>
          <w:b/>
        </w:rPr>
      </w:pPr>
      <w:r>
        <w:t xml:space="preserve">ТБП</w:t>
      </w:r>
      <w:r>
        <w:t xml:space="preserve">49:Сформировать</w:t>
      </w:r>
      <w:r>
        <w:t xml:space="preserve"> и подписать документ</w:t>
      </w:r>
      <w:r>
        <w:rPr>
          <w:b/>
        </w:rPr>
        <w:t xml:space="preserve"> </w:t>
      </w:r>
      <w:r>
        <w:rPr>
          <w:b/>
          <w:lang w:val="en-US"/>
        </w:rPr>
        <w:t xml:space="preserve">TO</w:t>
      </w:r>
      <w:r>
        <w:rPr>
          <w:b/>
        </w:rPr>
        <w:t xml:space="preserve"> </w:t>
      </w:r>
      <w:r>
        <w:rPr>
          <w:b/>
          <w:lang w:val="en-US"/>
        </w:rPr>
        <w:t xml:space="preserve">BE</w:t>
      </w:r>
      <w:r>
        <w:rPr>
          <w:b/>
        </w:rPr>
      </w:r>
      <w:r>
        <w:rPr>
          <w:b/>
        </w:rPr>
      </w:r>
    </w:p>
    <w:tbl>
      <w:tblPr>
        <w:tblStyle w:val="868"/>
        <w:tblW w:w="0" w:type="auto"/>
        <w:tblInd w:w="-8" w:type="dxa"/>
        <w:tblBorders>
          <w:top w:val="single" w:color="C0C6D0" w:sz="8" w:space="0"/>
          <w:left w:val="single" w:color="C0C6D0" w:sz="8" w:space="0"/>
          <w:bottom w:val="single" w:color="C0C6D0" w:sz="8" w:space="0"/>
          <w:right w:val="single" w:color="C0C6D0" w:sz="8" w:space="0"/>
          <w:insideH w:val="single" w:color="C0C6D0" w:sz="8" w:space="0"/>
          <w:insideV w:val="single" w:color="C0C6D0" w:sz="8" w:space="0"/>
        </w:tblBorders>
        <w:tblLayout w:type="fixed"/>
        <w:tblLook w:val="01E0" w:firstRow="1" w:lastRow="1" w:firstColumn="1" w:lastColumn="1" w:noHBand="0" w:noVBand="0"/>
      </w:tblPr>
      <w:tblGrid>
        <w:gridCol w:w="1727"/>
        <w:gridCol w:w="9738"/>
      </w:tblGrid>
      <w:tr>
        <w:tblPrEx/>
        <w:trPr>
          <w:trHeight w:val="280"/>
        </w:trPr>
        <w:tc>
          <w:tcPr>
            <w:shd w:val="clear" w:color="auto" w:fill="f3f4f7"/>
            <w:tcBorders>
              <w:left w:val="single" w:color="C0C6D0" w:sz="4" w:space="0"/>
              <w:right w:val="single" w:color="C0C6D0" w:sz="6" w:space="0"/>
            </w:tcBorders>
            <w:tcW w:w="1727" w:type="dxa"/>
            <w:textDirection w:val="lrTb"/>
            <w:noWrap w:val="false"/>
          </w:tcPr>
          <w:p>
            <w:pPr>
              <w:pStyle w:val="872"/>
              <w:ind w:left="152"/>
              <w:spacing w:before="118" w:line="280" w:lineRule="auto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 xml:space="preserve">Наименование</w:t>
            </w:r>
            <w:r>
              <w:rPr>
                <w:b/>
                <w:spacing w:val="40"/>
                <w:sz w:val="24"/>
                <w:szCs w:val="24"/>
              </w:rPr>
              <w:t xml:space="preserve"> </w:t>
            </w:r>
            <w:r>
              <w:rPr>
                <w:b/>
                <w:spacing w:val="-2"/>
                <w:sz w:val="24"/>
                <w:szCs w:val="24"/>
              </w:rPr>
              <w:t xml:space="preserve">процесса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tcBorders>
              <w:left w:val="single" w:color="C0C6D0" w:sz="6" w:space="0"/>
              <w:right w:val="single" w:color="C0C6D0" w:sz="4" w:space="0"/>
            </w:tcBorders>
            <w:tcW w:w="9738" w:type="dxa"/>
            <w:textDirection w:val="lrTb"/>
            <w:noWrap w:val="false"/>
          </w:tcPr>
          <w:p>
            <w:pPr>
              <w:pStyle w:val="872"/>
              <w:ind w:left="0"/>
              <w:jc w:val="both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ТБП</w:t>
            </w:r>
            <w:r>
              <w:rPr>
                <w:sz w:val="24"/>
                <w:szCs w:val="24"/>
              </w:rPr>
              <w:t xml:space="preserve">49:Сформировать</w:t>
            </w:r>
            <w:r>
              <w:rPr>
                <w:sz w:val="24"/>
                <w:szCs w:val="24"/>
              </w:rPr>
              <w:t xml:space="preserve"> и подписать 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>
          <w:trHeight w:val="188"/>
        </w:trPr>
        <w:tc>
          <w:tcPr>
            <w:shd w:val="clear" w:color="auto" w:fill="f3f4f7"/>
            <w:tcBorders>
              <w:left w:val="single" w:color="C0C6D0" w:sz="4" w:space="0"/>
              <w:bottom w:val="single" w:color="C0C6D0" w:sz="6" w:space="0"/>
              <w:right w:val="single" w:color="C0C6D0" w:sz="6" w:space="0"/>
            </w:tcBorders>
            <w:tcW w:w="1727" w:type="dxa"/>
            <w:textDirection w:val="lrTb"/>
            <w:noWrap w:val="false"/>
          </w:tcPr>
          <w:p>
            <w:pPr>
              <w:pStyle w:val="872"/>
              <w:ind w:left="152"/>
              <w:spacing w:before="118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Суть</w:t>
            </w:r>
            <w:r>
              <w:rPr>
                <w:b/>
                <w:spacing w:val="3"/>
                <w:sz w:val="24"/>
                <w:szCs w:val="24"/>
              </w:rPr>
              <w:t xml:space="preserve"> </w:t>
            </w:r>
            <w:r>
              <w:rPr>
                <w:b/>
                <w:spacing w:val="-2"/>
                <w:sz w:val="24"/>
                <w:szCs w:val="24"/>
              </w:rPr>
              <w:t xml:space="preserve">процесса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tcBorders>
              <w:left w:val="single" w:color="C0C6D0" w:sz="6" w:space="0"/>
              <w:bottom w:val="single" w:color="C0C6D0" w:sz="6" w:space="0"/>
              <w:right w:val="single" w:color="C0C6D0" w:sz="4" w:space="0"/>
            </w:tcBorders>
            <w:tcW w:w="9738" w:type="dxa"/>
            <w:textDirection w:val="lrTb"/>
            <w:noWrap w:val="false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Процесс направлен на подготовку, оформление и, при необходимости, подписание не процессуальных документов суда (запросов, сопроводительных писем, внутренних организационных документов </w:t>
            </w:r>
            <w:r>
              <w:rPr>
                <w:sz w:val="24"/>
                <w:szCs w:val="24"/>
              </w:rPr>
              <w:t xml:space="preserve">или  документов</w:t>
            </w:r>
            <w:r>
              <w:rPr>
                <w:sz w:val="24"/>
                <w:szCs w:val="24"/>
              </w:rPr>
              <w:t xml:space="preserve"> обеспечивающего х</w:t>
            </w:r>
            <w:r>
              <w:rPr>
                <w:sz w:val="24"/>
                <w:szCs w:val="24"/>
              </w:rPr>
              <w:t xml:space="preserve">арактера). Процесс начинается с возникновения необходимости сформировать не процессуальный документ. В рамках процесса определяется лицо, формирующее проект документа (судья либо сотрудник аппарата), а также способ его подготовки. После подготовки проекта </w:t>
            </w:r>
            <w:r>
              <w:rPr>
                <w:sz w:val="24"/>
                <w:szCs w:val="24"/>
              </w:rPr>
              <w:t xml:space="preserve">документа  он</w:t>
            </w:r>
            <w:r>
              <w:rPr>
                <w:sz w:val="24"/>
                <w:szCs w:val="24"/>
              </w:rPr>
              <w:t xml:space="preserve"> проверяется судьей (если требует подписания у судьи) осуществляется контроль содержания, при необходимости вносятся изменения судьей либо исполнителем. Далее определяется способ подписания </w:t>
            </w:r>
            <w:r>
              <w:rPr>
                <w:sz w:val="24"/>
                <w:szCs w:val="24"/>
              </w:rPr>
              <w:t xml:space="preserve">-</w:t>
            </w:r>
            <w:r>
              <w:rPr>
                <w:sz w:val="24"/>
                <w:szCs w:val="24"/>
              </w:rPr>
              <w:t xml:space="preserve"> усиленной квалифи</w:t>
            </w:r>
            <w:r>
              <w:rPr>
                <w:sz w:val="24"/>
                <w:szCs w:val="24"/>
              </w:rPr>
              <w:t xml:space="preserve">цированной электронной подписью (УКЭП) судьи/ судей коллегиально либо подписью сотрудника аппарата в пределах его полномочий. При необходимости изготавливается бумажная версия документа, обеспечивается его подписание всеми требуемыми лицами и проставление </w:t>
            </w:r>
            <w:r>
              <w:rPr>
                <w:sz w:val="24"/>
                <w:szCs w:val="24"/>
              </w:rPr>
              <w:t xml:space="preserve">соответствующей  печати</w:t>
            </w:r>
            <w:r>
              <w:rPr>
                <w:sz w:val="24"/>
                <w:szCs w:val="24"/>
              </w:rPr>
              <w:t xml:space="preserve">. На завершающем этапе документу при необходимости присваивается номенклатурный номер, осуществляется его регистрация в</w:t>
            </w:r>
            <w:r>
              <w:rPr>
                <w:sz w:val="24"/>
                <w:szCs w:val="24"/>
              </w:rPr>
              <w:t xml:space="preserve"> системе электронного документооборота и формируется окончательная версия документа. Процесс завершается созданием надлежащим образом оформленного, подписанного и зарегистрированного документа, готового к дальнейшему использованию или направлению адресату.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>
          <w:trHeight w:val="282"/>
        </w:trPr>
        <w:tc>
          <w:tcPr>
            <w:shd w:val="clear" w:color="auto" w:fill="f3f4f7"/>
            <w:tcBorders>
              <w:top w:val="single" w:color="C0C6D0" w:sz="6" w:space="0"/>
              <w:left w:val="single" w:color="C0C6D0" w:sz="4" w:space="0"/>
              <w:bottom w:val="single" w:color="C0C6D0" w:sz="6" w:space="0"/>
              <w:right w:val="single" w:color="C0C6D0" w:sz="6" w:space="0"/>
            </w:tcBorders>
            <w:tcW w:w="1727" w:type="dxa"/>
            <w:textDirection w:val="lrTb"/>
            <w:noWrap w:val="false"/>
          </w:tcPr>
          <w:p>
            <w:pPr>
              <w:pStyle w:val="872"/>
              <w:ind w:left="152"/>
              <w:spacing w:before="121" w:line="280" w:lineRule="auto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 xml:space="preserve">Участники</w:t>
            </w:r>
            <w:r>
              <w:rPr>
                <w:b/>
                <w:spacing w:val="40"/>
                <w:sz w:val="24"/>
                <w:szCs w:val="24"/>
              </w:rPr>
              <w:t xml:space="preserve"> </w:t>
            </w:r>
            <w:r>
              <w:rPr>
                <w:b/>
                <w:spacing w:val="-2"/>
                <w:sz w:val="24"/>
                <w:szCs w:val="24"/>
              </w:rPr>
              <w:t xml:space="preserve">процесса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tcBorders>
              <w:top w:val="single" w:color="C0C6D0" w:sz="6" w:space="0"/>
              <w:left w:val="single" w:color="C0C6D0" w:sz="6" w:space="0"/>
              <w:bottom w:val="single" w:color="C0C6D0" w:sz="6" w:space="0"/>
              <w:right w:val="single" w:color="C0C6D0" w:sz="4" w:space="0"/>
            </w:tcBorders>
            <w:tcW w:w="9738" w:type="dxa"/>
            <w:textDirection w:val="lrTb"/>
            <w:noWrap w:val="false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Судья, помощник судьи, секретарь СЗ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>
          <w:trHeight w:val="1555"/>
        </w:trPr>
        <w:tc>
          <w:tcPr>
            <w:shd w:val="clear" w:color="auto" w:fill="f3f4f7"/>
            <w:tcBorders>
              <w:top w:val="single" w:color="C0C6D0" w:sz="6" w:space="0"/>
              <w:left w:val="single" w:color="C0C6D0" w:sz="4" w:space="0"/>
              <w:right w:val="single" w:color="C0C6D0" w:sz="6" w:space="0"/>
            </w:tcBorders>
            <w:tcW w:w="1727" w:type="dxa"/>
            <w:textDirection w:val="lrTb"/>
            <w:noWrap w:val="false"/>
          </w:tcPr>
          <w:p>
            <w:pPr>
              <w:pStyle w:val="872"/>
              <w:ind w:left="152"/>
              <w:spacing w:before="121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 xml:space="preserve">НПА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tcBorders>
              <w:top w:val="single" w:color="C0C6D0" w:sz="6" w:space="0"/>
              <w:left w:val="single" w:color="C0C6D0" w:sz="6" w:space="0"/>
              <w:right w:val="single" w:color="C0C6D0" w:sz="4" w:space="0"/>
            </w:tcBorders>
            <w:tcW w:w="9738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"Арбитражный процессуальный кодекс Российской Федерации" от 24.07.2002 N 95-ФЗ (ред. от 01.04.2025)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Федеральный закон от 06.04.2011 N 63-ФЗ (ред. от 21.04.2025) "Об электронной подписи"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Приказ Судебного департамента при Верховном Суде РФ от 15.10.2014 N 221 </w:t>
            </w:r>
            <w:r>
              <w:rPr>
                <w:sz w:val="24"/>
                <w:szCs w:val="24"/>
              </w:rPr>
              <w:t xml:space="preserve">(ред. от 19.09.2018) "Об утверждении Инструкции о порядке изготовления, учета, использования, хранения и уничтожения печатей с воспроизведением Государственного герба Российской Федерации в федеральных судах общей юрисдикции, федеральных арбитражных судах"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869"/>
        <w:spacing w:before="38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869"/>
        <w:numPr>
          <w:ilvl w:val="0"/>
          <w:numId w:val="13"/>
        </w:numPr>
        <w:rPr>
          <w:spacing w:val="-5"/>
        </w:rPr>
      </w:pPr>
      <w:r>
        <w:t xml:space="preserve">Реестр </w:t>
      </w:r>
      <w:r>
        <w:rPr>
          <w:spacing w:val="-5"/>
        </w:rPr>
        <w:t xml:space="preserve">US</w:t>
      </w:r>
      <w:r>
        <w:rPr>
          <w:spacing w:val="-5"/>
        </w:rPr>
      </w:r>
      <w:r>
        <w:rPr>
          <w:spacing w:val="-5"/>
        </w:rPr>
      </w:r>
    </w:p>
    <w:tbl>
      <w:tblPr>
        <w:tblStyle w:val="875"/>
        <w:tblW w:w="0" w:type="auto"/>
        <w:tblLook w:val="04A0" w:firstRow="1" w:lastRow="0" w:firstColumn="1" w:lastColumn="0" w:noHBand="0" w:noVBand="1"/>
      </w:tblPr>
      <w:tblGrid>
        <w:gridCol w:w="457"/>
        <w:gridCol w:w="1985"/>
        <w:gridCol w:w="10289"/>
        <w:gridCol w:w="10932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b/>
                <w:bCs/>
                <w:sz w:val="24"/>
                <w:szCs w:val="24"/>
                <w:lang w:eastAsia="ru-RU"/>
              </w:rPr>
            </w:pPr>
            <w:r>
              <w:rPr>
                <w:b/>
                <w:bCs/>
                <w:sz w:val="24"/>
                <w:szCs w:val="24"/>
                <w:lang w:eastAsia="ru-RU"/>
              </w:rPr>
              <w:t xml:space="preserve">№</w:t>
            </w:r>
            <w:r>
              <w:rPr>
                <w:b/>
                <w:bCs/>
                <w:sz w:val="24"/>
                <w:szCs w:val="24"/>
                <w:lang w:eastAsia="ru-RU"/>
              </w:rPr>
            </w:r>
            <w:r>
              <w:rPr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b/>
                <w:bCs/>
                <w:sz w:val="24"/>
                <w:szCs w:val="24"/>
                <w:lang w:eastAsia="ru-RU"/>
              </w:rPr>
            </w:pPr>
            <w:r>
              <w:rPr>
                <w:b/>
                <w:bCs/>
                <w:sz w:val="24"/>
                <w:szCs w:val="24"/>
                <w:lang w:eastAsia="ru-RU"/>
              </w:rPr>
              <w:t xml:space="preserve">Я КАК</w:t>
            </w:r>
            <w:r>
              <w:rPr>
                <w:b/>
                <w:bCs/>
                <w:sz w:val="24"/>
                <w:szCs w:val="24"/>
                <w:lang w:eastAsia="ru-RU"/>
              </w:rPr>
            </w:r>
            <w:r>
              <w:rPr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b/>
                <w:bCs/>
                <w:sz w:val="24"/>
                <w:szCs w:val="24"/>
                <w:lang w:eastAsia="ru-RU"/>
              </w:rPr>
            </w:pPr>
            <w:r>
              <w:rPr>
                <w:b/>
                <w:bCs/>
                <w:sz w:val="24"/>
                <w:szCs w:val="24"/>
                <w:lang w:eastAsia="ru-RU"/>
              </w:rPr>
              <w:t xml:space="preserve">ХОЧУ</w:t>
            </w:r>
            <w:r>
              <w:rPr>
                <w:b/>
                <w:bCs/>
                <w:sz w:val="24"/>
                <w:szCs w:val="24"/>
                <w:lang w:eastAsia="ru-RU"/>
              </w:rPr>
            </w:r>
            <w:r>
              <w:rPr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b/>
                <w:bCs/>
                <w:sz w:val="24"/>
                <w:szCs w:val="24"/>
                <w:lang w:eastAsia="ru-RU"/>
              </w:rPr>
            </w:pPr>
            <w:r>
              <w:rPr>
                <w:b/>
                <w:bCs/>
                <w:sz w:val="24"/>
                <w:szCs w:val="24"/>
                <w:lang w:eastAsia="ru-RU"/>
              </w:rPr>
              <w:t xml:space="preserve">ЧТОБЫ</w:t>
            </w:r>
            <w:r>
              <w:rPr>
                <w:b/>
                <w:bCs/>
                <w:sz w:val="24"/>
                <w:szCs w:val="24"/>
                <w:lang w:eastAsia="ru-RU"/>
              </w:rPr>
            </w:r>
            <w:r>
              <w:rPr>
                <w:b/>
                <w:bCs/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формировать не процессуальные документы по поручению судьи или по собственной инициативе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обеспечивать своевременное делопроизводство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определять будет ли судья формировать проект документа лично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правильно распределять обязанности по подготовке документов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3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использовать шаблоны документов с автозаполнением типовых разделов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ускорить процесс формирования проектов документов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4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Перенаправляла в карточку нового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система автоматически создавала карточку документа при формировании проекта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5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перенаправляться на шаблон документа с заполненными разделами по умолчанию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оперативно вносить необходимые изменения в проект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6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заполнять обязательные реквизиты проекта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соответствие требованиям делопроизводства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7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прикреплять файлы/приложения к проекту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полноту комплекта документов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8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Иметь возможность возвращаться к предыдущим версиям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чтобы система создавала версию проекта документа при сохранении изменений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9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направлять проект документа судье на согласование/подписание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своевременное рассмотрение проекта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10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получать уведомления о действиях судьи по проекту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оперативно реагировать на изменения статуса проекта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11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вносить правки в проект документа по замечаниям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подготовку корректной итоговой версии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12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фиксировать итоговую готовность проекта документа для подписания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исключить передачу на подпись незавершённых проектов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13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Выбирать подпись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чтобы система рекомендовала способ подписания (КЭП/простая/иное) в зависимости от типа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14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выбирать способ подписания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корректное оформление подписания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15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инициировать процедуру подписания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запуск подписания без ручных обходных операций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16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Видеть в карточке документа информацию о подписи 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чтобы система добавляла информацию о подписи в карточку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17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получать подтверждение успешного подписания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убедиться в завершении операции подписания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18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Видеть отображение статуса документа в системе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чтобы система присваивала документу статус «Подписан» после успешного подписания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19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направлять подписанный документ адресатам/в необходимые подразделения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доставку документа по маршруту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20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Помощник судьи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сохранять подписанный документ в электронном деле/хранилище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сохранность и доступность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21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формировать проект документа лично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подготовку документа без участия помощника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22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просматривать проект документа, подготовленный помощником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принять решение о подписании либо необходимости правок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23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возвращать проект документа на доработку с замечаниями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корректировку содержания до подписания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24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подписывать документ </w:t>
            </w:r>
            <w:r>
              <w:rPr>
                <w:sz w:val="24"/>
                <w:szCs w:val="24"/>
                <w:lang w:eastAsia="ru-RU"/>
              </w:rPr>
              <w:t xml:space="preserve">электронно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юридически значимое оформление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25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Получать сообщения от системы о обязательных полях/реквизитах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чтобы система автоматически проверяла заполненность обязательных реквизитов перед подписанием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26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Получать сообщения о ошибках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чтобы система автоматически отображала информацию о ошибках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27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определять необходимость коллегиального подписания документа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соблюдение процессуальных норм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28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отмечать в карточке документа кто еще должен подписать документ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автоматическую маршрутизацию по согласующим лицам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29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Судья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определять необходимость создания документа на бумаге/вручения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обеспечить его доставку соответствующим адресатам</w:t>
            </w:r>
            <w:r>
              <w:rPr>
                <w:sz w:val="24"/>
                <w:szCs w:val="24"/>
                <w:lang w:eastAsia="ru-RU"/>
              </w:rPr>
            </w:r>
            <w:r>
              <w:rPr>
                <w:sz w:val="24"/>
                <w:szCs w:val="24"/>
                <w:lang w:eastAsia="ru-RU"/>
              </w:rPr>
            </w:r>
          </w:p>
        </w:tc>
      </w:tr>
    </w:tbl>
    <w:p>
      <w:pPr>
        <w:pStyle w:val="869"/>
        <w:spacing w:before="63"/>
      </w:pPr>
      <w:r/>
      <w:r/>
    </w:p>
    <w:p>
      <w:pPr>
        <w:pStyle w:val="871"/>
        <w:numPr>
          <w:ilvl w:val="1"/>
          <w:numId w:val="9"/>
        </w:numPr>
        <w:tabs>
          <w:tab w:val="left" w:pos="600" w:leader="none"/>
        </w:tabs>
        <w:rPr>
          <w:sz w:val="24"/>
          <w:szCs w:val="24"/>
        </w:rPr>
      </w:pPr>
      <w:r>
        <w:rPr>
          <w:sz w:val="24"/>
          <w:szCs w:val="24"/>
        </w:rPr>
        <w:t xml:space="preserve">Описание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 xml:space="preserve">схемы</w:t>
      </w:r>
      <w:r>
        <w:rPr>
          <w:spacing w:val="-6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 xml:space="preserve">процесса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875"/>
        <w:tblW w:w="18560" w:type="dxa"/>
        <w:tblLook w:val="04A0" w:firstRow="1" w:lastRow="0" w:firstColumn="1" w:lastColumn="0" w:noHBand="0" w:noVBand="1"/>
      </w:tblPr>
      <w:tblGrid>
        <w:gridCol w:w="1260"/>
        <w:gridCol w:w="5680"/>
        <w:gridCol w:w="8400"/>
        <w:gridCol w:w="3220"/>
      </w:tblGrid>
      <w:tr>
        <w:tblPrEx/>
        <w:trPr>
          <w:trHeight w:val="630"/>
        </w:trPr>
        <w:tc>
          <w:tcPr>
            <w:tcW w:w="1260" w:type="dxa"/>
            <w:textDirection w:val="lrTb"/>
            <w:noWrap w:val="false"/>
          </w:tcPr>
          <w:p>
            <w:pPr>
              <w:ind w:left="240"/>
              <w:widowControl/>
              <w:rPr>
                <w:color w:val="000000"/>
                <w:sz w:val="24"/>
                <w:szCs w:val="24"/>
                <w:lang w:eastAsia="ru-RU"/>
              </w:rPr>
            </w:pPr>
            <w:r/>
            <w:bookmarkStart w:id="0" w:name="_GoBack"/>
            <w:r>
              <w:rPr>
                <w:color w:val="000000"/>
                <w:sz w:val="24"/>
                <w:szCs w:val="24"/>
                <w:lang w:eastAsia="ru-RU"/>
              </w:rPr>
              <w:t xml:space="preserve">№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Наименование элемента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Описание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Выявленные нормативные ограничения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0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Требуется сформировать или сформировать и подписать документ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Тип: Простое начальное событие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Назначение: Зафиксировать начало процесса подготовки документа: инициировать создание проекта не процессуального документа и при необходимости запуск операций подписания/заверения, регистрации и формирования финальной версии</w:t>
            </w:r>
            <w:r/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Определить роль пользователя, формирующего документ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Тип: Сервисная задача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Назначение: Выбрать сценарий создания проекта документа, доступные шаблоны и операции (редактирование, версия, отправка на подпись) в зависимости от роли пользователя.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Роль: Система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Входящие данные: Отсутствуют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Исходящие данные: Отсутствуют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Описание: Система определяет, к какой из ролей, существующих в ролевой модели, относится пользователь, инициировавший запуск процесса по формированию проекта документа.</w:t>
            </w:r>
            <w:r/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Кто формирует проект?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Тип: Развилка «ИЛИ/ИЛИ»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Назначение: Выполнить выбор исполнителя подготовки проекта документа (судья формирует лично / сотрудник аппарата формирует по поручению) для определения дальнейшего порядка подготовки, согласования и подписания.</w:t>
            </w:r>
            <w:r/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Выбрать вид документа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Тип: Пользовательская задача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Назначение: Выбор вида документа пользователем позволит системе определить соответствующий этому документу шаблон, состав обязательных реквизитов и правил автозаполнения/проверки заполненности перед подписанием.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Роль: Судья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Входящие данные: Отсутствуют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Исходящие данные: Отсутствуют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Описание: Судья выбирает вид документа, подлежащий формированию, из списка.</w:t>
            </w:r>
            <w:r/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Предложить 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предзаполненный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 шаблон документа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Тип: Сервисная задача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Назначение: Автоматически сформировать черновик документа по выбранному виду (шаблону): создать карточку/файл проекта, предзаполнить реквизиты и типовые блоки, подсветить обязательные поля и возможные ошибки заполнения.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Роль: Система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Входящие данные: Отсутствуют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Исходящие данные: Проект документа по шаблону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Описание: Система формирует проект документа по преднастроенному шаблону, что включает: создание карточку/файл проекта, предзаполнение реквизиты и полей, подсветить обязательные поля пользователю для заполнения.</w:t>
            </w:r>
            <w:r/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5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Ознакомиться с шаблоном и данными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П</w:t>
            </w:r>
            <w:r>
              <w:rPr>
                <w:sz w:val="24"/>
                <w:szCs w:val="24"/>
              </w:rPr>
              <w:t xml:space="preserve">одтвердить корректность данных либо выявить необходимость правок до сохранения версии проекта/подписания.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Судья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документа по шаблону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Судья знакомится с документом, сформированным по шаблону автоматически, проверяя при этом корректность данных в нем.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6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Сформировать проект документа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Подтвердить корректность сформированного системой документа, с</w:t>
            </w:r>
            <w:r>
              <w:rPr>
                <w:sz w:val="24"/>
                <w:szCs w:val="24"/>
              </w:rPr>
              <w:t xml:space="preserve">охранить первичную версию, обеспечить возможность последующего редактирования и возврата к предыдущим версиям (</w:t>
            </w:r>
            <w:r>
              <w:rPr>
                <w:sz w:val="24"/>
                <w:szCs w:val="24"/>
              </w:rPr>
              <w:t xml:space="preserve">версионирование</w:t>
            </w:r>
            <w:r>
              <w:rPr>
                <w:sz w:val="24"/>
                <w:szCs w:val="24"/>
              </w:rPr>
              <w:t xml:space="preserve">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Судья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документа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Описание: Судья подтверждает корректность сформированного документа посредством нажатия соответствующей кнопки.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839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7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Проставить связи документа и дела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Автоматически</w:t>
            </w:r>
            <w:r>
              <w:rPr>
                <w:sz w:val="24"/>
                <w:szCs w:val="24"/>
              </w:rPr>
              <w:t xml:space="preserve"> проставить связи проекта документа с карточкой дела/контекстом и участниками; обеспечить включение проекта в электронное дело/хранилище для хранения и поиска.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проставляет связи сформированного и сохраненного документа и дела посредством проставления ссылок в соответствующих графах (полях) карточек.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8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Выбрать вид документа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Выбор вида документа пользователем позволит системе определить соответствующий этому документу шаблон, состав обязательных реквизитов и правил автозаполнения/проверки заполненности перед подписанием.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Роль: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судьи/ Секретарь СЗ/Сотрудник канцелярии/ руководитель подразделения делопроизводства/другой сотрудник суда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Входящие данные: 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Исходящие данные: 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судьи/ Секретарь СЗ/Сотрудник канцелярии/ руководитель подразделения делопроизводства/другой сотрудник суда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(далее - «Сотрудник суда») выбирает вид документа, подлежащий формированию, из списка.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9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Предложить 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предзаполненный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 шаблон документа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Тип: Сервисная задача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Назначение: Автоматически сформировать черновик документа по выбранному виду (шаблону): создать карточку/файл проекта, предзаполнить реквизиты и типовые блоки, подсветить обязательные поля и возможные ошибки заполнения.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Роль: Система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Входящие данные: 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Исходящие данные: Проект документа по шаблону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Описание: Система формирует проект документа по преднастроенному шаблону, что включает: создание карточку/файл проекта, предзаполнение реквизиты и полей, подсветить обязательные поля пользователю для заполнения.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10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Ознакомиться с шаблоном и данными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П</w:t>
            </w:r>
            <w:r>
              <w:rPr>
                <w:sz w:val="24"/>
                <w:szCs w:val="24"/>
              </w:rPr>
              <w:t xml:space="preserve">одтвердить корректность данных либо выявить необходимость правок до сохранения версии проекта/подписания.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судьи/ Секретарь СЗ/Сотрудник канцелярии/ руководитель подразделения делопроизводства/другой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документа по шаблону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Сотрудник суда знакомится с документом, сформированным по шаблону автоматически, проверяя при этом корректность данных в нем.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11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Сформировать проект документа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Подтвердить корректность сформированного системой документа, с</w:t>
            </w:r>
            <w:r>
              <w:rPr>
                <w:sz w:val="24"/>
                <w:szCs w:val="24"/>
              </w:rPr>
              <w:t xml:space="preserve">охранить первичную версию, обеспечить возможность последующего редактирования и возврата к предыдущим версиям (</w:t>
            </w:r>
            <w:r>
              <w:rPr>
                <w:sz w:val="24"/>
                <w:szCs w:val="24"/>
              </w:rPr>
              <w:t xml:space="preserve">версионирование</w:t>
            </w:r>
            <w:r>
              <w:rPr>
                <w:sz w:val="24"/>
                <w:szCs w:val="24"/>
              </w:rPr>
              <w:t xml:space="preserve">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судьи/ Секретарь СЗ/Сотрудник канцелярии/ руководитель подразделения делопроизводства/другой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документа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Описание: </w:t>
            </w:r>
            <w:r>
              <w:rPr>
                <w:sz w:val="24"/>
                <w:szCs w:val="24"/>
                <w:highlight w:val="none"/>
              </w:rPr>
              <w:t xml:space="preserve">Сотрудник суда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 подтверждает корректность сформированного документа посредством нажатия соответствующей кнопки.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12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Проставить связи документа и дела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Автоматически</w:t>
            </w:r>
            <w:r>
              <w:rPr>
                <w:sz w:val="24"/>
                <w:szCs w:val="24"/>
              </w:rPr>
              <w:t xml:space="preserve"> проставить связи проекта документа с карточкой дела/контекстом и участниками; обеспечить включение проекта в электронное дело/хранилище для хранения и поиска.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проставляет связи сформированного и сохраненного документа и дела посредством проставления ссылок в соответствующих графах (полях) карточек.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13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Определить необходимость подписи на документе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Автоматически</w:t>
            </w:r>
            <w:r>
              <w:rPr>
                <w:sz w:val="24"/>
                <w:szCs w:val="24"/>
              </w:rPr>
              <w:t xml:space="preserve"> определить, требуется ли подпись для выбранного вида документа; при необходимости, сформировать требование к подписанту и проверку заполненности обязательных реквизитов перед подписанием.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документа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по настроенным правилам определяет, есть ли необходимость подписи на сформированном документе.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14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Требуется подписание документа?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Определить</w:t>
            </w:r>
            <w:r>
              <w:rPr>
                <w:sz w:val="24"/>
                <w:szCs w:val="24"/>
              </w:rPr>
              <w:t xml:space="preserve"> дальнейший сценарий по критерию «требуется подписание»: да, подготовить проект к подписанию (контроль реквизитов, статус, маршрутизация), нет, перейти к заверению/печати/регистрации при необходимости.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15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Требуется подписание судьей/судьями?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Уточнить</w:t>
            </w:r>
            <w:r>
              <w:rPr>
                <w:sz w:val="24"/>
                <w:szCs w:val="24"/>
              </w:rPr>
              <w:t xml:space="preserve"> подписанта по критерию «кто уполномочен подписывать»: судья/состав суда (в т.ч. коллегиально) либо сотрудник аппарата в пределах полномочий; сформировать список подписантов и маршрут подписания.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16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Предложить подписать документ ЭП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Отобразить</w:t>
            </w:r>
            <w:r>
              <w:rPr>
                <w:sz w:val="24"/>
                <w:szCs w:val="24"/>
              </w:rPr>
              <w:t xml:space="preserve"> в карточке проекта доступную операцию подписания ЭП и рекомендованный способ подписания (например, УКЭП/иное) в зависимости от типа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выводит сообщение пользователю с информацией о необходимости подписания ЭП.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17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Подписать документ ЭП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Выполнить</w:t>
            </w:r>
            <w:r>
              <w:rPr>
                <w:sz w:val="24"/>
                <w:szCs w:val="24"/>
              </w:rPr>
              <w:t xml:space="preserve"> подписание документа ЭП сотрудником в пределах полномочий; зафиксировать реквизиты подписи, перевести документ в статус «Подписан», сформировать подтверждение успешного подписания.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Сотрудник суда подписывает документ собственной подписью (ЭП).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18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Передать документ судье на подпись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Автоматически</w:t>
            </w:r>
            <w:r>
              <w:rPr>
                <w:sz w:val="24"/>
                <w:szCs w:val="24"/>
              </w:rPr>
              <w:t xml:space="preserve"> направить проект/версию документа судье (или составу суда) на согласование/подпись, обеспечив маршрутизацию и доступ к операции подписания в карточке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направляет ссылку на проект документа судье для подписания.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19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Уведомить пользователя о необходимости подписания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Автоматически</w:t>
            </w:r>
            <w:r>
              <w:rPr>
                <w:sz w:val="24"/>
                <w:szCs w:val="24"/>
              </w:rPr>
              <w:t xml:space="preserve"> уведомить подписанта/участников о поступлении проекта на подпись и изменениях статуса (на подписи/подписан/возвращён), чтобы обеспечить своевременное действие по документу.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Уведомление о необходимости подписания.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направляет судье уведомление с информацией о необходимости подписания документа.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20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Сходящаяся развилка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Объединить</w:t>
            </w:r>
            <w:r>
              <w:rPr>
                <w:sz w:val="24"/>
                <w:szCs w:val="24"/>
              </w:rPr>
              <w:t xml:space="preserve"> результаты вариантов подписания/передачи на подпись в единый поток, сохранив актуальную версию и статус проекта для последующей проверки/оформления.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21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Проверить Проект документа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Подтвердить корректность сформированного документа или выявить недостатки, на основании которых необходимо подготовить замечания.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Судья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Проект документа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Судья проверяет проект документа, в частности осуществляет контроль содержания, реквизитов, проверяет наличие пустых полей, которые были обязательны к заполнению.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24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22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Документ составлен корректно?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Зафиксировать</w:t>
            </w:r>
            <w:r>
              <w:rPr>
                <w:sz w:val="24"/>
                <w:szCs w:val="24"/>
              </w:rPr>
              <w:t xml:space="preserve"> результат проверки проекта: да, проект готов к подписанию/выпуску и может быть направлен на подписание; нет, требуется корректировка с фиксацией замечаний и управлением версиями.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26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23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Судья хочет внести изменения самостоятельно?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Определить</w:t>
            </w:r>
            <w:r>
              <w:rPr>
                <w:sz w:val="24"/>
                <w:szCs w:val="24"/>
              </w:rPr>
              <w:t xml:space="preserve"> исполнителя правок по критерию «кто вносит изменения»: судья редактирует сам (с сохранением версии) либо поручает корректировку сотруднику (с постановкой задачи и уведомлениями).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24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Зафиксировать замечания к проекту документа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Сформировать и сохранить </w:t>
            </w:r>
            <w:r>
              <w:rPr>
                <w:sz w:val="24"/>
                <w:szCs w:val="24"/>
              </w:rPr>
              <w:t xml:space="preserve">в карточке документа замечания к проекту (текст/структурированные поля) как основание для корректировки и последующей повторной проверки, с привязкой к версии проекта.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Судья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Проект документа</w:t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Судья формирует замечания к документу, выявленные на этапе проверки, и фиксирует эти замечания в карточке в соответствующей графе для последующей корректировки сотрудником суда, ответственным за формирование этого документа.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25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Уведомить о необходимости скорректировать документ по замечаниям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Донесение информации о наличии замечаний в документе сотруднику, ответственному за его формирование</w:t>
            </w:r>
            <w:r>
              <w:rPr>
                <w:sz w:val="24"/>
                <w:szCs w:val="24"/>
              </w:rPr>
              <w:t xml:space="preserve">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автоматически направляет уведомление о том, что судья зафиксировал замечания к документу, которые необходимо исправить.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26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Скорректировать проект документа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Внести</w:t>
            </w:r>
            <w:r>
              <w:rPr>
                <w:sz w:val="24"/>
                <w:szCs w:val="24"/>
              </w:rPr>
              <w:t xml:space="preserve"> правки по замечаниям в проект документа, при сохранении формировать новую версию проекта и при необходимости прикреплять/обновлять приложения; подготовить исправленную версию к подписанию судьей.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 xml:space="preserve">Скорректированный проект документа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Сотрудник суда корректрует проект документа по замечаниям, оставленным судьей.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27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Передать скорректированный проект судье на подпись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Направить</w:t>
            </w:r>
            <w:r>
              <w:rPr>
                <w:sz w:val="24"/>
                <w:szCs w:val="24"/>
              </w:rPr>
              <w:t xml:space="preserve"> судье исправленную версию проекта документа на повторную проверку/подписание, сохранив историю версий и статус передачи.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Скорректированный проект документа</w:t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Сотрудник подтверждает завершение внесения изменений в документ и направляет исправленный документ на подпись судье.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29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Уведомить пользователя об исправленном документе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Автоматически</w:t>
            </w:r>
            <w:r>
              <w:rPr>
                <w:sz w:val="24"/>
                <w:szCs w:val="24"/>
              </w:rPr>
              <w:t xml:space="preserve"> уведомить судью о готовности исправленного проекта и изменении статуса, чтобы инициировать повторную проверку/подписание.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</w:t>
            </w:r>
            <w:r>
              <w:rPr>
                <w:sz w:val="24"/>
                <w:szCs w:val="24"/>
              </w:rPr>
              <w:t xml:space="preserve">Скорректированный проект документа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направляет уведомление судье с информацией о том, что документ был скорректирован по замечаниям.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30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Внести изменения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Скорректировать </w:t>
            </w:r>
            <w:r>
              <w:rPr>
                <w:sz w:val="24"/>
                <w:szCs w:val="24"/>
              </w:rPr>
              <w:t xml:space="preserve">проект документа в карточке (текст/реквизиты/вложения) с обязательным сохранением новой версии проекта и возможностью возврата к предыдущим версиям.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Судья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Проект документа</w:t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Скорректированный проект документа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Судья вносит изменения в проект документа самостоятельно.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253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31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Сходящаяся развилка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Объединить</w:t>
            </w:r>
            <w:r>
              <w:rPr>
                <w:sz w:val="24"/>
                <w:szCs w:val="24"/>
              </w:rPr>
              <w:t xml:space="preserve"> результаты корректировки (правки судьи/правки сотрудника) в единый поток, фиксируя актуальную версию проекта для дальнейшего подписания и оформления.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33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Подписать УКЭП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Подписать</w:t>
            </w:r>
            <w:r>
              <w:rPr>
                <w:sz w:val="24"/>
                <w:szCs w:val="24"/>
              </w:rPr>
              <w:t xml:space="preserve"> документ УКЭП судьи (при необходимости, УКЭП нескольких судей): зафиксировать реквизиты подписи(ей) в карточке, обновить статус «Подписан», сформировать подтверждение успешного подписания.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Судья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Проект документа</w:t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Подписанный документ</w:t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Судья (несколько судей при необходимости) подписывают готовый документ УКЭП.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329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34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Сходящаяся развилка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Объединить</w:t>
            </w:r>
            <w:r>
              <w:rPr>
                <w:sz w:val="24"/>
                <w:szCs w:val="24"/>
              </w:rPr>
              <w:t xml:space="preserve"> варианты подписания (судья/иное уполномоченное лицо) в единый поток, обеспечив наличие подписанной версии документа для последующего заверения печатью и/или регистрации.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35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Проверить необходимость печати на документе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Автоматически</w:t>
            </w:r>
            <w:r>
              <w:rPr>
                <w:sz w:val="24"/>
                <w:szCs w:val="24"/>
              </w:rPr>
              <w:t xml:space="preserve"> определить необходимость проставления печати (обычной/гербовой) по виду документа и способу выдачи/направления; подготовить документ к операции заверения.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</w:t>
            </w:r>
            <w:r>
              <w:rPr>
                <w:sz w:val="24"/>
                <w:szCs w:val="24"/>
              </w:rPr>
              <w:t xml:space="preserve">Подписанный документ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определяет необходимость проставления печати на документе в зависимости от его вида и отображает пользователю вывод о наличии или отсутствии такой необходимости для определения дальнейших действий.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338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36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Требуется печать?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Выбрать</w:t>
            </w:r>
            <w:r>
              <w:rPr>
                <w:sz w:val="24"/>
                <w:szCs w:val="24"/>
              </w:rPr>
              <w:t xml:space="preserve"> сценарий по критерию «требуется печать»: да, выполнить заверение печатью (с фиксацией реквизитов и статуса), нет, перейти к изготовлению бумажной копии/регистрации при необходимости.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266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37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Требуется гербовая печать?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Уточнить</w:t>
            </w:r>
            <w:r>
              <w:rPr>
                <w:sz w:val="24"/>
                <w:szCs w:val="24"/>
              </w:rPr>
              <w:t xml:space="preserve"> вид печати по критерию «требуется гербовая печать»: да, проставить гербовую печать; нет, проставить стандартную печать, при этом сохранить отметку о виде печати в карточке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38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Поставить электронную печать суда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Заверить документ</w:t>
            </w:r>
            <w:r>
              <w:rPr>
                <w:sz w:val="24"/>
                <w:szCs w:val="24"/>
              </w:rPr>
              <w:t xml:space="preserve"> электронной печатью суда  и зафиксировать факт заверения (вид печати, дата/время, ответственный) в карточке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Подписанный документ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Отсутствуют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Сотрудник суда нажимает на кнопку, отвечающую за проставление электронной печати суда на документе.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39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Добавить к файлу квалифицированную печать суда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Автоматически</w:t>
            </w:r>
            <w:r>
              <w:rPr>
                <w:sz w:val="24"/>
                <w:szCs w:val="24"/>
              </w:rPr>
              <w:t xml:space="preserve"> встроить квалифицированную электронную печать суда в файл подписанной версии документа и обеспечить неизменность заверенного содержания; отобразить сведения о печати в карточке.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Подписанный документ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 xml:space="preserve">Подписанный документ</w:t>
            </w:r>
            <w:r>
              <w:rPr>
                <w:sz w:val="24"/>
                <w:szCs w:val="24"/>
              </w:rPr>
              <w:t xml:space="preserve"> с электронной печатью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none"/>
              </w:rPr>
              <w:t xml:space="preserve">Описание: Система добавляет к файлу электронную квалифицированную печать суда, тем самым визуально отображая ее в теле документа в соответствующем месте.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40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Поставить электронную гербовую печать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 xml:space="preserve">Заверить документ</w:t>
            </w:r>
            <w:r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электронной гербовой печатью суда и зафиксировать факт заверения (гербовая печать, дата/время, ответственный) в карточке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</w:t>
            </w:r>
            <w:r>
              <w:rPr>
                <w:sz w:val="24"/>
                <w:szCs w:val="24"/>
              </w:rPr>
              <w:t xml:space="preserve">Подписанный документ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2205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41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Добавить к файлу квалифицированную 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гербовую  печать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 суда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Автоматически</w:t>
            </w:r>
            <w:r>
              <w:rPr>
                <w:sz w:val="24"/>
                <w:szCs w:val="24"/>
              </w:rPr>
              <w:t xml:space="preserve"> встроить квалифицированную электронную гербовую печать суда в файл подписанной версии документа и зафиксировать сведения о печати в карточке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42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Сходящаяся развилка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Объединить</w:t>
            </w:r>
            <w:r>
              <w:rPr>
                <w:sz w:val="24"/>
                <w:szCs w:val="24"/>
              </w:rPr>
              <w:t xml:space="preserve"> варианты заверения (обычная/гербовая печать) в единый поток, сформировав заверенную версию документа для дальнейших действий (бумажная копия/регистрация).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43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Сходящаяся развилка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Объединить</w:t>
            </w:r>
            <w:r>
              <w:rPr>
                <w:sz w:val="24"/>
                <w:szCs w:val="24"/>
              </w:rPr>
              <w:t xml:space="preserve"> варианты, при которых печать не требуется либо уже выполнено заверение, в единый поток для определения необходимости изготовления бумажных копий.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44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Необходимо изготовить бумажные копии электронного документа?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</w:t>
            </w:r>
            <w:r>
              <w:rPr>
                <w:sz w:val="24"/>
                <w:szCs w:val="24"/>
              </w:rPr>
              <w:t xml:space="preserve">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Определить</w:t>
            </w:r>
            <w:r>
              <w:rPr>
                <w:sz w:val="24"/>
                <w:szCs w:val="24"/>
              </w:rPr>
              <w:t xml:space="preserve"> необходимость изготовления бумажных копий электронной версии документа (для выдачи/направления/вручения) и, при необходимости, подготовить документ к печати.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45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Выбрать необходимое количество экземпляров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Указать</w:t>
            </w:r>
            <w:r>
              <w:rPr>
                <w:sz w:val="24"/>
                <w:szCs w:val="24"/>
              </w:rPr>
              <w:t xml:space="preserve"> количество бумажных экземпляров; система фиксирует параметр печати (тираж) в карточке документа для последующего изготовления.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46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Распечатать документ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Распечатать</w:t>
            </w:r>
            <w:r>
              <w:rPr>
                <w:sz w:val="24"/>
                <w:szCs w:val="24"/>
              </w:rPr>
              <w:t xml:space="preserve"> документ в заданном количестве экземпляров и зафиксировать факт изготовления бумажных копий (количество, дата/время, ответственный) в карточке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47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Сходящаяся развилка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Объединить</w:t>
            </w:r>
            <w:r>
              <w:rPr>
                <w:sz w:val="24"/>
                <w:szCs w:val="24"/>
              </w:rPr>
              <w:t xml:space="preserve"> варианты (бумажные копии изготовлены / не требуются) в единый поток для присвоения номенклатурного номера и регистрации документа при необходимости.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48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Предложить присвоить номенклатурный номер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Отобразить</w:t>
            </w:r>
            <w:r>
              <w:rPr>
                <w:sz w:val="24"/>
                <w:szCs w:val="24"/>
              </w:rPr>
              <w:t xml:space="preserve"> пользователю возможность инициировать присвоение номенклатурного (делопроизводственного) номера и подсказать необходимость номера по виду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49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Определить необходимость присвоения номенклатурного номера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Определить</w:t>
            </w:r>
            <w:r>
              <w:rPr>
                <w:sz w:val="24"/>
                <w:szCs w:val="24"/>
              </w:rPr>
              <w:t xml:space="preserve">, требуется ли присвоение номенклатурного номера по виду документа и правилам учета; при необходимости, подготовить документ к регистрации/учету и контролю статуса.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50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Требуется присвоить номенклатурный номер?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Принять</w:t>
            </w:r>
            <w:r>
              <w:rPr>
                <w:sz w:val="24"/>
                <w:szCs w:val="24"/>
              </w:rPr>
              <w:t xml:space="preserve"> решение по критерию «требуется номенклатурный номер»: да, присвоить номер и зафиксировать его в карточке; нет, завершить оформление без присвоения номенклатурного номера.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51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Присвоить документу регистрационный номер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Зарегистрировать</w:t>
            </w:r>
            <w:r>
              <w:rPr>
                <w:sz w:val="24"/>
                <w:szCs w:val="24"/>
              </w:rPr>
              <w:t xml:space="preserve"> документ в системе электронного документооборота (например, ЭОС «Дело») и присвоить регистрационный номер; зафиксировать номер, дату регистрации и статус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52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Сходящаяся развилка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Объединить</w:t>
            </w:r>
            <w:r>
              <w:rPr>
                <w:sz w:val="24"/>
                <w:szCs w:val="24"/>
              </w:rPr>
              <w:t xml:space="preserve"> варианты (номер присвоен / регистрация не требуется) в единый поток для фиксации завершения подготовки финальной версии документа и готовности к использованию/направлению.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blPrEx/>
        <w:trPr>
          <w:trHeight w:val="1890"/>
        </w:trPr>
        <w:tc>
          <w:tcPr>
            <w:tcW w:w="126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53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568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 xml:space="preserve">Документ сформирован и подписан</w:t>
            </w:r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8400" w:type="dxa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Тип: Простое завершающее событие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Назначение</w:t>
            </w:r>
            <w:r>
              <w:rPr>
                <w:sz w:val="24"/>
                <w:szCs w:val="24"/>
              </w:rPr>
              <w:t xml:space="preserve">: Зафиксировать</w:t>
            </w:r>
            <w:r>
              <w:rPr>
                <w:sz w:val="24"/>
                <w:szCs w:val="24"/>
              </w:rPr>
              <w:t xml:space="preserve"> завершение процесса: сформирована финальная версия документа, при необходимости подписана/заверена печатью, при необходимости изготовлены бумажные копии и выполнена регистрация; документ готов к хранению в электронном деле и/или направлению адресату.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Роль: Помощник судьи/ Секретарь СЗ/другой сотрудник суда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Исходящие данные</w:t>
            </w:r>
            <w:r>
              <w:rPr>
                <w:sz w:val="24"/>
                <w:szCs w:val="24"/>
              </w:rPr>
              <w:t xml:space="preserve">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3220" w:type="dxa"/>
            <w:textDirection w:val="lrTb"/>
            <w:noWrap w:val="false"/>
          </w:tcPr>
          <w:p>
            <w:pPr>
              <w:widowControl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  <w:bookmarkEnd w:id="0"/>
            <w:r>
              <w:rPr>
                <w:color w:val="000000"/>
                <w:sz w:val="24"/>
                <w:szCs w:val="24"/>
                <w:lang w:eastAsia="ru-RU"/>
              </w:rPr>
            </w: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</w:tbl>
    <w:p>
      <w:pPr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right="342"/>
        <w:spacing w:line="280" w:lineRule="auto"/>
        <w:tabs>
          <w:tab w:val="left" w:pos="660" w:leader="none"/>
        </w:tabs>
        <w:rPr>
          <w:sz w:val="24"/>
          <w:szCs w:val="24"/>
        </w:rPr>
      </w:pPr>
      <w:r>
        <w:rPr>
          <w:sz w:val="24"/>
          <w:szCs w:val="24"/>
        </w:rPr>
        <w:t xml:space="preserve">3.</w:t>
      </w:r>
      <w:r>
        <w:rPr>
          <w:sz w:val="24"/>
          <w:szCs w:val="24"/>
        </w:rPr>
        <w:t xml:space="preserve">Реестр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 xml:space="preserve">UC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 xml:space="preserve">(в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 xml:space="preserve">части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 xml:space="preserve">выполняемых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 xml:space="preserve">пользователем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 xml:space="preserve">задач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 xml:space="preserve">и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 xml:space="preserve">рекомендованной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 xml:space="preserve">функциональности </w:t>
      </w:r>
      <w:r>
        <w:rPr>
          <w:spacing w:val="-2"/>
          <w:sz w:val="24"/>
          <w:szCs w:val="24"/>
        </w:rPr>
        <w:t xml:space="preserve">Системы)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continuous"/>
      <w:pgSz w:w="23811" w:h="16838" w:orient="landscape"/>
      <w:pgMar w:top="720" w:right="940" w:bottom="720" w:left="280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600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9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51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23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95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7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9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11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83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558" w:hanging="180"/>
      </w:p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28" w:hanging="15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15"/>
        <w:szCs w:val="15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08" w:hanging="1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15"/>
        <w:szCs w:val="15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 w:cs="Times New Roman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8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360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60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32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04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76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48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20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492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64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360" w:hanging="180"/>
      </w:pPr>
    </w:lvl>
  </w:abstractNum>
  <w:abstractNum w:abstractNumId="1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28" w:hanging="15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15"/>
        <w:szCs w:val="15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08" w:hanging="1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15"/>
        <w:szCs w:val="15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1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08" w:hanging="18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15"/>
        <w:szCs w:val="15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1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08" w:hanging="18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15"/>
        <w:szCs w:val="15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9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51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23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95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7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9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11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83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558" w:hanging="180"/>
      </w:pPr>
    </w:lvl>
  </w:abstractNum>
  <w:abstractNum w:abstractNumId="15">
    <w:multiLevelType w:val="hybridMultilevel"/>
    <w:lvl w:ilvl="0">
      <w:start w:val="1"/>
      <w:numFmt w:val="bullet"/>
      <w:isLgl w:val="false"/>
      <w:suff w:val="tab"/>
      <w:lvlText w:val="•"/>
      <w:lvlJc w:val="left"/>
      <w:pPr>
        <w:ind w:left="1080" w:hanging="720"/>
      </w:pPr>
      <w:rPr>
        <w:rFonts w:hint="default" w:ascii="Times New Roman" w:hAnsi="Times New Roman" w:eastAsia="Times New Roman" w:cs="Times New Roman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09" w:hanging="1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15"/>
        <w:szCs w:val="15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08" w:hanging="1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15"/>
        <w:szCs w:val="15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7"/>
  </w:num>
  <w:num w:numId="2">
    <w:abstractNumId w:val="12"/>
  </w:num>
  <w:num w:numId="3">
    <w:abstractNumId w:val="11"/>
  </w:num>
  <w:num w:numId="4">
    <w:abstractNumId w:val="6"/>
  </w:num>
  <w:num w:numId="5">
    <w:abstractNumId w:val="4"/>
  </w:num>
  <w:num w:numId="6">
    <w:abstractNumId w:val="16"/>
  </w:num>
  <w:num w:numId="7">
    <w:abstractNumId w:val="13"/>
  </w:num>
  <w:num w:numId="8">
    <w:abstractNumId w:val="10"/>
  </w:num>
  <w:num w:numId="9">
    <w:abstractNumId w:val="0"/>
  </w:num>
  <w:num w:numId="10">
    <w:abstractNumId w:val="2"/>
  </w:num>
  <w:num w:numId="11">
    <w:abstractNumId w:val="14"/>
  </w:num>
  <w:num w:numId="12">
    <w:abstractNumId w:val="1"/>
  </w:num>
  <w:num w:numId="13">
    <w:abstractNumId w:val="9"/>
  </w:num>
  <w:num w:numId="14">
    <w:abstractNumId w:val="7"/>
  </w:num>
  <w:num w:numId="15">
    <w:abstractNumId w:val="5"/>
  </w:num>
  <w:num w:numId="16">
    <w:abstractNumId w:val="8"/>
  </w:num>
  <w:num w:numId="17">
    <w:abstractNumId w:val="3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off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90">
    <w:name w:val="Heading 1"/>
    <w:basedOn w:val="863"/>
    <w:next w:val="863"/>
    <w:link w:val="691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91">
    <w:name w:val="Heading 1 Char"/>
    <w:basedOn w:val="865"/>
    <w:link w:val="690"/>
    <w:uiPriority w:val="9"/>
    <w:rPr>
      <w:rFonts w:ascii="Arial" w:hAnsi="Arial" w:eastAsia="Arial" w:cs="Arial"/>
      <w:sz w:val="40"/>
      <w:szCs w:val="40"/>
    </w:rPr>
  </w:style>
  <w:style w:type="character" w:styleId="692">
    <w:name w:val="Heading 2 Char"/>
    <w:basedOn w:val="865"/>
    <w:link w:val="864"/>
    <w:uiPriority w:val="9"/>
    <w:rPr>
      <w:rFonts w:ascii="Arial" w:hAnsi="Arial" w:eastAsia="Arial" w:cs="Arial"/>
      <w:sz w:val="34"/>
    </w:rPr>
  </w:style>
  <w:style w:type="paragraph" w:styleId="693">
    <w:name w:val="Heading 3"/>
    <w:basedOn w:val="863"/>
    <w:next w:val="863"/>
    <w:link w:val="69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94">
    <w:name w:val="Heading 3 Char"/>
    <w:basedOn w:val="865"/>
    <w:link w:val="693"/>
    <w:uiPriority w:val="9"/>
    <w:rPr>
      <w:rFonts w:ascii="Arial" w:hAnsi="Arial" w:eastAsia="Arial" w:cs="Arial"/>
      <w:sz w:val="30"/>
      <w:szCs w:val="30"/>
    </w:rPr>
  </w:style>
  <w:style w:type="paragraph" w:styleId="695">
    <w:name w:val="Heading 4"/>
    <w:basedOn w:val="863"/>
    <w:next w:val="863"/>
    <w:link w:val="696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96">
    <w:name w:val="Heading 4 Char"/>
    <w:basedOn w:val="865"/>
    <w:link w:val="695"/>
    <w:uiPriority w:val="9"/>
    <w:rPr>
      <w:rFonts w:ascii="Arial" w:hAnsi="Arial" w:eastAsia="Arial" w:cs="Arial"/>
      <w:b/>
      <w:bCs/>
      <w:sz w:val="26"/>
      <w:szCs w:val="26"/>
    </w:rPr>
  </w:style>
  <w:style w:type="paragraph" w:styleId="697">
    <w:name w:val="Heading 5"/>
    <w:basedOn w:val="863"/>
    <w:next w:val="863"/>
    <w:link w:val="698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98">
    <w:name w:val="Heading 5 Char"/>
    <w:basedOn w:val="865"/>
    <w:link w:val="697"/>
    <w:uiPriority w:val="9"/>
    <w:rPr>
      <w:rFonts w:ascii="Arial" w:hAnsi="Arial" w:eastAsia="Arial" w:cs="Arial"/>
      <w:b/>
      <w:bCs/>
      <w:sz w:val="24"/>
      <w:szCs w:val="24"/>
    </w:rPr>
  </w:style>
  <w:style w:type="paragraph" w:styleId="699">
    <w:name w:val="Heading 6"/>
    <w:basedOn w:val="863"/>
    <w:next w:val="863"/>
    <w:link w:val="700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00">
    <w:name w:val="Heading 6 Char"/>
    <w:basedOn w:val="865"/>
    <w:link w:val="699"/>
    <w:uiPriority w:val="9"/>
    <w:rPr>
      <w:rFonts w:ascii="Arial" w:hAnsi="Arial" w:eastAsia="Arial" w:cs="Arial"/>
      <w:b/>
      <w:bCs/>
      <w:sz w:val="22"/>
      <w:szCs w:val="22"/>
    </w:rPr>
  </w:style>
  <w:style w:type="paragraph" w:styleId="701">
    <w:name w:val="Heading 7"/>
    <w:basedOn w:val="863"/>
    <w:next w:val="863"/>
    <w:link w:val="702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02">
    <w:name w:val="Heading 7 Char"/>
    <w:basedOn w:val="865"/>
    <w:link w:val="701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703">
    <w:name w:val="Heading 8"/>
    <w:basedOn w:val="863"/>
    <w:next w:val="863"/>
    <w:link w:val="704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04">
    <w:name w:val="Heading 8 Char"/>
    <w:basedOn w:val="865"/>
    <w:link w:val="703"/>
    <w:uiPriority w:val="9"/>
    <w:rPr>
      <w:rFonts w:ascii="Arial" w:hAnsi="Arial" w:eastAsia="Arial" w:cs="Arial"/>
      <w:i/>
      <w:iCs/>
      <w:sz w:val="22"/>
      <w:szCs w:val="22"/>
    </w:rPr>
  </w:style>
  <w:style w:type="paragraph" w:styleId="705">
    <w:name w:val="Heading 9"/>
    <w:basedOn w:val="863"/>
    <w:next w:val="863"/>
    <w:link w:val="706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06">
    <w:name w:val="Heading 9 Char"/>
    <w:basedOn w:val="865"/>
    <w:link w:val="705"/>
    <w:uiPriority w:val="9"/>
    <w:rPr>
      <w:rFonts w:ascii="Arial" w:hAnsi="Arial" w:eastAsia="Arial" w:cs="Arial"/>
      <w:i/>
      <w:iCs/>
      <w:sz w:val="21"/>
      <w:szCs w:val="21"/>
    </w:rPr>
  </w:style>
  <w:style w:type="paragraph" w:styleId="707">
    <w:name w:val="No Spacing"/>
    <w:uiPriority w:val="1"/>
    <w:qFormat/>
    <w:pPr>
      <w:spacing w:before="0" w:after="0" w:line="240" w:lineRule="auto"/>
    </w:pPr>
  </w:style>
  <w:style w:type="character" w:styleId="708">
    <w:name w:val="Title Char"/>
    <w:basedOn w:val="865"/>
    <w:link w:val="870"/>
    <w:uiPriority w:val="10"/>
    <w:rPr>
      <w:sz w:val="48"/>
      <w:szCs w:val="48"/>
    </w:rPr>
  </w:style>
  <w:style w:type="paragraph" w:styleId="709">
    <w:name w:val="Subtitle"/>
    <w:basedOn w:val="863"/>
    <w:next w:val="863"/>
    <w:link w:val="710"/>
    <w:uiPriority w:val="11"/>
    <w:qFormat/>
    <w:pPr>
      <w:spacing w:before="200" w:after="200"/>
    </w:pPr>
    <w:rPr>
      <w:sz w:val="24"/>
      <w:szCs w:val="24"/>
    </w:rPr>
  </w:style>
  <w:style w:type="character" w:styleId="710">
    <w:name w:val="Subtitle Char"/>
    <w:basedOn w:val="865"/>
    <w:link w:val="709"/>
    <w:uiPriority w:val="11"/>
    <w:rPr>
      <w:sz w:val="24"/>
      <w:szCs w:val="24"/>
    </w:rPr>
  </w:style>
  <w:style w:type="paragraph" w:styleId="711">
    <w:name w:val="Quote"/>
    <w:basedOn w:val="863"/>
    <w:next w:val="863"/>
    <w:link w:val="712"/>
    <w:uiPriority w:val="29"/>
    <w:qFormat/>
    <w:pPr>
      <w:ind w:left="720" w:right="720"/>
    </w:pPr>
    <w:rPr>
      <w:i/>
    </w:rPr>
  </w:style>
  <w:style w:type="character" w:styleId="712">
    <w:name w:val="Quote Char"/>
    <w:link w:val="711"/>
    <w:uiPriority w:val="29"/>
    <w:rPr>
      <w:i/>
    </w:rPr>
  </w:style>
  <w:style w:type="paragraph" w:styleId="713">
    <w:name w:val="Intense Quote"/>
    <w:basedOn w:val="863"/>
    <w:next w:val="863"/>
    <w:link w:val="714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14">
    <w:name w:val="Intense Quote Char"/>
    <w:link w:val="713"/>
    <w:uiPriority w:val="30"/>
    <w:rPr>
      <w:i/>
    </w:rPr>
  </w:style>
  <w:style w:type="paragraph" w:styleId="715">
    <w:name w:val="Header"/>
    <w:basedOn w:val="863"/>
    <w:link w:val="71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716">
    <w:name w:val="Header Char"/>
    <w:basedOn w:val="865"/>
    <w:link w:val="715"/>
    <w:uiPriority w:val="99"/>
  </w:style>
  <w:style w:type="paragraph" w:styleId="717">
    <w:name w:val="Footer"/>
    <w:basedOn w:val="863"/>
    <w:link w:val="720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718">
    <w:name w:val="Footer Char"/>
    <w:basedOn w:val="865"/>
    <w:link w:val="717"/>
    <w:uiPriority w:val="99"/>
  </w:style>
  <w:style w:type="paragraph" w:styleId="719">
    <w:name w:val="Caption"/>
    <w:basedOn w:val="863"/>
    <w:next w:val="863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20">
    <w:name w:val="Caption Char"/>
    <w:basedOn w:val="719"/>
    <w:link w:val="717"/>
    <w:uiPriority w:val="99"/>
  </w:style>
  <w:style w:type="table" w:styleId="721">
    <w:name w:val="Table Grid Light"/>
    <w:basedOn w:val="8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22">
    <w:name w:val="Plain Table 1"/>
    <w:basedOn w:val="8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23">
    <w:name w:val="Plain Table 2"/>
    <w:basedOn w:val="8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24">
    <w:name w:val="Plain Table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25">
    <w:name w:val="Plain Table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6">
    <w:name w:val="Plain Table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27">
    <w:name w:val="Grid Table 1 Light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8">
    <w:name w:val="Grid Table 1 Light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9">
    <w:name w:val="Grid Table 1 Light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0">
    <w:name w:val="Grid Table 1 Light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1">
    <w:name w:val="Grid Table 1 Light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2">
    <w:name w:val="Grid Table 1 Light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3">
    <w:name w:val="Grid Table 1 Light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Grid Table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Grid Table 2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2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2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2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2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2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3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3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3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3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Grid Table 3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Grid Table 3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4"/>
    <w:basedOn w:val="8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49">
    <w:name w:val="Grid Table 4 - Accent 1"/>
    <w:basedOn w:val="8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50">
    <w:name w:val="Grid Table 4 - Accent 2"/>
    <w:basedOn w:val="8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51">
    <w:name w:val="Grid Table 4 - Accent 3"/>
    <w:basedOn w:val="8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52">
    <w:name w:val="Grid Table 4 - Accent 4"/>
    <w:basedOn w:val="8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53">
    <w:name w:val="Grid Table 4 - Accent 5"/>
    <w:basedOn w:val="8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54">
    <w:name w:val="Grid Table 4 - Accent 6"/>
    <w:basedOn w:val="8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55">
    <w:name w:val="Grid Table 5 Dark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56">
    <w:name w:val="Grid Table 5 Dark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757">
    <w:name w:val="Grid Table 5 Dark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758">
    <w:name w:val="Grid Table 5 Dark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759">
    <w:name w:val="Grid Table 5 Dark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760">
    <w:name w:val="Grid Table 5 Dark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761">
    <w:name w:val="Grid Table 5 Dark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762">
    <w:name w:val="Grid Table 6 Colorful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63">
    <w:name w:val="Grid Table 6 Colorful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64">
    <w:name w:val="Grid Table 6 Colorful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65">
    <w:name w:val="Grid Table 6 Colorful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66">
    <w:name w:val="Grid Table 6 Colorful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67">
    <w:name w:val="Grid Table 6 Colorful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68">
    <w:name w:val="Grid Table 6 Colorful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69">
    <w:name w:val="Grid Table 7 Colorful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0">
    <w:name w:val="Grid Table 7 Colorful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1">
    <w:name w:val="Grid Table 7 Colorful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2">
    <w:name w:val="Grid Table 7 Colorful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3">
    <w:name w:val="Grid Table 7 Colorful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4">
    <w:name w:val="Grid Table 7 Colorful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Grid Table 7 Colorful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List Table 1 Light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List Table 1 Light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List Table 1 Light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List Table 1 Light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List Table 1 Light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1">
    <w:name w:val="List Table 1 Light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2">
    <w:name w:val="List Table 1 Light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3">
    <w:name w:val="List Table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84">
    <w:name w:val="List Table 2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85">
    <w:name w:val="List Table 2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86">
    <w:name w:val="List Table 2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87">
    <w:name w:val="List Table 2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88">
    <w:name w:val="List Table 2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89">
    <w:name w:val="List Table 2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90">
    <w:name w:val="List Table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1">
    <w:name w:val="List Table 3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2">
    <w:name w:val="List Table 3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3">
    <w:name w:val="List Table 3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4">
    <w:name w:val="List Table 3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5">
    <w:name w:val="List Table 3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3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8">
    <w:name w:val="List Table 4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>
    <w:name w:val="List Table 4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>
    <w:name w:val="List Table 4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>
    <w:name w:val="List Table 4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2">
    <w:name w:val="List Table 4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3">
    <w:name w:val="List Table 4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4">
    <w:name w:val="List Table 5 Dark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5">
    <w:name w:val="List Table 5 Dark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6">
    <w:name w:val="List Table 5 Dark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7">
    <w:name w:val="List Table 5 Dark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8">
    <w:name w:val="List Table 5 Dark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9">
    <w:name w:val="List Table 5 Dark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0">
    <w:name w:val="List Table 5 Dark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1">
    <w:name w:val="List Table 6 Colorful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12">
    <w:name w:val="List Table 6 Colorful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13">
    <w:name w:val="List Table 6 Colorful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14">
    <w:name w:val="List Table 6 Colorful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15">
    <w:name w:val="List Table 6 Colorful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16">
    <w:name w:val="List Table 6 Colorful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17">
    <w:name w:val="List Table 6 Colorful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18">
    <w:name w:val="List Table 7 Colorful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819">
    <w:name w:val="List Table 7 Colorful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820">
    <w:name w:val="List Table 7 Colorful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821">
    <w:name w:val="List Table 7 Colorful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822">
    <w:name w:val="List Table 7 Colorful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823">
    <w:name w:val="List Table 7 Colorful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824">
    <w:name w:val="List Table 7 Colorful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825">
    <w:name w:val="Lined - Accent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26">
    <w:name w:val="Lined - Accent 1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27">
    <w:name w:val="Lined - Accent 2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28">
    <w:name w:val="Lined - Accent 3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29">
    <w:name w:val="Lined - Accent 4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30">
    <w:name w:val="Lined - Accent 5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31">
    <w:name w:val="Lined - Accent 6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32">
    <w:name w:val="Bordered &amp; Lined - Accent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33">
    <w:name w:val="Bordered &amp; Lined - Accent 1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34">
    <w:name w:val="Bordered &amp; Lined - Accent 2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35">
    <w:name w:val="Bordered &amp; Lined - Accent 3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36">
    <w:name w:val="Bordered &amp; Lined - Accent 4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37">
    <w:name w:val="Bordered &amp; Lined - Accent 5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38">
    <w:name w:val="Bordered &amp; Lined - Accent 6"/>
    <w:basedOn w:val="86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39">
    <w:name w:val="Bordered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40">
    <w:name w:val="Bordered - Accent 1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41">
    <w:name w:val="Bordered - Accent 2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42">
    <w:name w:val="Bordered - Accent 3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43">
    <w:name w:val="Bordered - Accent 4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44">
    <w:name w:val="Bordered - Accent 5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45">
    <w:name w:val="Bordered - Accent 6"/>
    <w:basedOn w:val="8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846">
    <w:name w:val="footnote text"/>
    <w:basedOn w:val="863"/>
    <w:link w:val="847"/>
    <w:uiPriority w:val="99"/>
    <w:semiHidden/>
    <w:unhideWhenUsed/>
    <w:pPr>
      <w:spacing w:after="40" w:line="240" w:lineRule="auto"/>
    </w:pPr>
    <w:rPr>
      <w:sz w:val="18"/>
    </w:rPr>
  </w:style>
  <w:style w:type="character" w:styleId="847">
    <w:name w:val="Footnote Text Char"/>
    <w:link w:val="846"/>
    <w:uiPriority w:val="99"/>
    <w:rPr>
      <w:sz w:val="18"/>
    </w:rPr>
  </w:style>
  <w:style w:type="character" w:styleId="848">
    <w:name w:val="footnote reference"/>
    <w:basedOn w:val="865"/>
    <w:uiPriority w:val="99"/>
    <w:unhideWhenUsed/>
    <w:rPr>
      <w:vertAlign w:val="superscript"/>
    </w:rPr>
  </w:style>
  <w:style w:type="paragraph" w:styleId="849">
    <w:name w:val="endnote text"/>
    <w:basedOn w:val="863"/>
    <w:link w:val="850"/>
    <w:uiPriority w:val="99"/>
    <w:semiHidden/>
    <w:unhideWhenUsed/>
    <w:pPr>
      <w:spacing w:after="0" w:line="240" w:lineRule="auto"/>
    </w:pPr>
    <w:rPr>
      <w:sz w:val="20"/>
    </w:rPr>
  </w:style>
  <w:style w:type="character" w:styleId="850">
    <w:name w:val="Endnote Text Char"/>
    <w:link w:val="849"/>
    <w:uiPriority w:val="99"/>
    <w:rPr>
      <w:sz w:val="20"/>
    </w:rPr>
  </w:style>
  <w:style w:type="character" w:styleId="851">
    <w:name w:val="endnote reference"/>
    <w:basedOn w:val="865"/>
    <w:uiPriority w:val="99"/>
    <w:semiHidden/>
    <w:unhideWhenUsed/>
    <w:rPr>
      <w:vertAlign w:val="superscript"/>
    </w:rPr>
  </w:style>
  <w:style w:type="paragraph" w:styleId="852">
    <w:name w:val="toc 1"/>
    <w:basedOn w:val="863"/>
    <w:next w:val="863"/>
    <w:uiPriority w:val="39"/>
    <w:unhideWhenUsed/>
    <w:pPr>
      <w:ind w:left="0" w:right="0" w:firstLine="0"/>
      <w:spacing w:after="57"/>
    </w:pPr>
  </w:style>
  <w:style w:type="paragraph" w:styleId="853">
    <w:name w:val="toc 2"/>
    <w:basedOn w:val="863"/>
    <w:next w:val="863"/>
    <w:uiPriority w:val="39"/>
    <w:unhideWhenUsed/>
    <w:pPr>
      <w:ind w:left="283" w:right="0" w:firstLine="0"/>
      <w:spacing w:after="57"/>
    </w:pPr>
  </w:style>
  <w:style w:type="paragraph" w:styleId="854">
    <w:name w:val="toc 3"/>
    <w:basedOn w:val="863"/>
    <w:next w:val="863"/>
    <w:uiPriority w:val="39"/>
    <w:unhideWhenUsed/>
    <w:pPr>
      <w:ind w:left="567" w:right="0" w:firstLine="0"/>
      <w:spacing w:after="57"/>
    </w:pPr>
  </w:style>
  <w:style w:type="paragraph" w:styleId="855">
    <w:name w:val="toc 4"/>
    <w:basedOn w:val="863"/>
    <w:next w:val="863"/>
    <w:uiPriority w:val="39"/>
    <w:unhideWhenUsed/>
    <w:pPr>
      <w:ind w:left="850" w:right="0" w:firstLine="0"/>
      <w:spacing w:after="57"/>
    </w:pPr>
  </w:style>
  <w:style w:type="paragraph" w:styleId="856">
    <w:name w:val="toc 5"/>
    <w:basedOn w:val="863"/>
    <w:next w:val="863"/>
    <w:uiPriority w:val="39"/>
    <w:unhideWhenUsed/>
    <w:pPr>
      <w:ind w:left="1134" w:right="0" w:firstLine="0"/>
      <w:spacing w:after="57"/>
    </w:pPr>
  </w:style>
  <w:style w:type="paragraph" w:styleId="857">
    <w:name w:val="toc 6"/>
    <w:basedOn w:val="863"/>
    <w:next w:val="863"/>
    <w:uiPriority w:val="39"/>
    <w:unhideWhenUsed/>
    <w:pPr>
      <w:ind w:left="1417" w:right="0" w:firstLine="0"/>
      <w:spacing w:after="57"/>
    </w:pPr>
  </w:style>
  <w:style w:type="paragraph" w:styleId="858">
    <w:name w:val="toc 7"/>
    <w:basedOn w:val="863"/>
    <w:next w:val="863"/>
    <w:uiPriority w:val="39"/>
    <w:unhideWhenUsed/>
    <w:pPr>
      <w:ind w:left="1701" w:right="0" w:firstLine="0"/>
      <w:spacing w:after="57"/>
    </w:pPr>
  </w:style>
  <w:style w:type="paragraph" w:styleId="859">
    <w:name w:val="toc 8"/>
    <w:basedOn w:val="863"/>
    <w:next w:val="863"/>
    <w:uiPriority w:val="39"/>
    <w:unhideWhenUsed/>
    <w:pPr>
      <w:ind w:left="1984" w:right="0" w:firstLine="0"/>
      <w:spacing w:after="57"/>
    </w:pPr>
  </w:style>
  <w:style w:type="paragraph" w:styleId="860">
    <w:name w:val="toc 9"/>
    <w:basedOn w:val="863"/>
    <w:next w:val="863"/>
    <w:uiPriority w:val="39"/>
    <w:unhideWhenUsed/>
    <w:pPr>
      <w:ind w:left="2268" w:right="0" w:firstLine="0"/>
      <w:spacing w:after="57"/>
    </w:pPr>
  </w:style>
  <w:style w:type="paragraph" w:styleId="861">
    <w:name w:val="TOC Heading"/>
    <w:uiPriority w:val="39"/>
    <w:unhideWhenUsed/>
  </w:style>
  <w:style w:type="paragraph" w:styleId="862">
    <w:name w:val="table of figures"/>
    <w:basedOn w:val="863"/>
    <w:next w:val="863"/>
    <w:uiPriority w:val="99"/>
    <w:unhideWhenUsed/>
    <w:pPr>
      <w:spacing w:after="0" w:afterAutospacing="0"/>
    </w:pPr>
  </w:style>
  <w:style w:type="paragraph" w:styleId="863" w:default="1">
    <w:name w:val="Normal"/>
    <w:qFormat/>
    <w:rPr>
      <w:rFonts w:ascii="Times New Roman" w:hAnsi="Times New Roman" w:eastAsia="Times New Roman" w:cs="Times New Roman"/>
      <w:lang w:val="ru-RU"/>
    </w:rPr>
  </w:style>
  <w:style w:type="paragraph" w:styleId="864">
    <w:name w:val="Heading 2"/>
    <w:basedOn w:val="863"/>
    <w:link w:val="876"/>
    <w:uiPriority w:val="9"/>
    <w:qFormat/>
    <w:pPr>
      <w:spacing w:before="100" w:beforeAutospacing="1" w:after="100" w:afterAutospacing="1"/>
      <w:widowControl/>
      <w:outlineLvl w:val="1"/>
    </w:pPr>
    <w:rPr>
      <w:b/>
      <w:bCs/>
      <w:sz w:val="36"/>
      <w:szCs w:val="36"/>
      <w:lang w:eastAsia="ru-RU"/>
    </w:rPr>
  </w:style>
  <w:style w:type="character" w:styleId="865" w:default="1">
    <w:name w:val="Default Paragraph Font"/>
    <w:uiPriority w:val="1"/>
    <w:semiHidden/>
    <w:unhideWhenUsed/>
  </w:style>
  <w:style w:type="table" w:styleId="8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67" w:default="1">
    <w:name w:val="No List"/>
    <w:uiPriority w:val="99"/>
    <w:semiHidden/>
    <w:unhideWhenUsed/>
  </w:style>
  <w:style w:type="table" w:styleId="868" w:customStyle="1">
    <w:name w:val="Table Normal"/>
    <w:uiPriority w:val="2"/>
    <w:semiHidden/>
    <w:unhideWhenUsed/>
    <w:qFormat/>
    <w:tblPr>
      <w:tblInd w:w="0" w:type="dxa"/>
      <w:tblCellMar>
        <w:left w:w="0" w:type="dxa"/>
        <w:top w:w="0" w:type="dxa"/>
        <w:right w:w="0" w:type="dxa"/>
        <w:bottom w:w="0" w:type="dxa"/>
      </w:tblCellMar>
    </w:tblPr>
  </w:style>
  <w:style w:type="paragraph" w:styleId="869">
    <w:name w:val="Body Text"/>
    <w:basedOn w:val="863"/>
    <w:uiPriority w:val="1"/>
    <w:qFormat/>
    <w:rPr>
      <w:sz w:val="24"/>
      <w:szCs w:val="24"/>
    </w:rPr>
  </w:style>
  <w:style w:type="paragraph" w:styleId="870">
    <w:name w:val="Title"/>
    <w:basedOn w:val="863"/>
    <w:uiPriority w:val="10"/>
    <w:qFormat/>
    <w:pPr>
      <w:ind w:left="240"/>
      <w:spacing w:before="58"/>
    </w:pPr>
    <w:rPr>
      <w:b/>
      <w:bCs/>
      <w:sz w:val="36"/>
      <w:szCs w:val="36"/>
    </w:rPr>
  </w:style>
  <w:style w:type="paragraph" w:styleId="871">
    <w:name w:val="List Paragraph"/>
    <w:basedOn w:val="863"/>
    <w:uiPriority w:val="1"/>
    <w:qFormat/>
    <w:pPr>
      <w:ind w:left="600" w:hanging="360"/>
    </w:pPr>
  </w:style>
  <w:style w:type="paragraph" w:styleId="872" w:customStyle="1">
    <w:name w:val="Table Paragraph"/>
    <w:basedOn w:val="863"/>
    <w:uiPriority w:val="1"/>
    <w:qFormat/>
    <w:pPr>
      <w:ind w:left="65"/>
      <w:spacing w:before="77"/>
    </w:pPr>
  </w:style>
  <w:style w:type="character" w:styleId="873">
    <w:name w:val="Strong"/>
    <w:basedOn w:val="865"/>
    <w:uiPriority w:val="22"/>
    <w:qFormat/>
    <w:rPr>
      <w:b/>
      <w:bCs/>
    </w:rPr>
  </w:style>
  <w:style w:type="table" w:styleId="874">
    <w:name w:val="Grid Table Light"/>
    <w:basedOn w:val="866"/>
    <w:uiPriority w:val="40"/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875">
    <w:name w:val="Table Grid"/>
    <w:basedOn w:val="866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876" w:customStyle="1">
    <w:name w:val="Заголовок 2 Знак"/>
    <w:basedOn w:val="865"/>
    <w:link w:val="864"/>
    <w:uiPriority w:val="9"/>
    <w:rPr>
      <w:rFonts w:ascii="Times New Roman" w:hAnsi="Times New Roman" w:eastAsia="Times New Roman" w:cs="Times New Roman"/>
      <w:b/>
      <w:bCs/>
      <w:sz w:val="36"/>
      <w:szCs w:val="36"/>
      <w:lang w:val="ru-RU" w:eastAsia="ru-RU"/>
    </w:rPr>
  </w:style>
  <w:style w:type="paragraph" w:styleId="877">
    <w:name w:val="Normal (Web)"/>
    <w:basedOn w:val="863"/>
    <w:uiPriority w:val="99"/>
    <w:unhideWhenUsed/>
    <w:pPr>
      <w:spacing w:before="100" w:beforeAutospacing="1" w:after="100" w:afterAutospacing="1"/>
      <w:widowControl/>
    </w:pPr>
    <w:rPr>
      <w:sz w:val="24"/>
      <w:szCs w:val="24"/>
      <w:lang w:eastAsia="ru-RU"/>
    </w:rPr>
  </w:style>
  <w:style w:type="character" w:styleId="878">
    <w:name w:val="Hyperlink"/>
    <w:basedOn w:val="865"/>
    <w:uiPriority w:val="99"/>
    <w:unhideWhenUsed/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Настя Сотникова</cp:lastModifiedBy>
  <cp:revision>125</cp:revision>
  <dcterms:created xsi:type="dcterms:W3CDTF">2025-12-18T13:25:00Z</dcterms:created>
  <dcterms:modified xsi:type="dcterms:W3CDTF">2026-05-13T05:33:58Z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