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6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ТБП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53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.Принять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входящий документ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To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Be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5"/>
        <w:spacing w:before="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871"/>
        <w:tblW w:w="0" w:type="auto"/>
        <w:tblLayout w:type="fixed"/>
        <w:tblLook w:val="01E0" w:firstRow="1" w:lastRow="1" w:firstColumn="1" w:lastColumn="1" w:noHBand="0" w:noVBand="0"/>
      </w:tblPr>
      <w:tblGrid>
        <w:gridCol w:w="3122"/>
        <w:gridCol w:w="11622"/>
      </w:tblGrid>
      <w:tr>
        <w:tblPrEx/>
        <w:trPr>
          <w:trHeight w:val="610"/>
        </w:trPr>
        <w:tc>
          <w:tcPr>
            <w:tcW w:w="3122" w:type="dxa"/>
            <w:textDirection w:val="lrTb"/>
            <w:noWrap w:val="false"/>
          </w:tcPr>
          <w:p>
            <w:pPr>
              <w:pStyle w:val="868"/>
              <w:ind w:left="152"/>
              <w:spacing w:before="118" w:line="2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68"/>
              <w:ind w:left="0"/>
              <w:spacing w:before="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ТБП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.Принять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 входящий документ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tcW w:w="3122" w:type="dxa"/>
            <w:textDirection w:val="lrTb"/>
            <w:noWrap w:val="false"/>
          </w:tcPr>
          <w:p>
            <w:pPr>
              <w:pStyle w:val="868"/>
              <w:ind w:left="152"/>
              <w:spacing w:before="1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Суть</w:t>
            </w:r>
            <w:r>
              <w:rPr>
                <w:rFonts w:ascii="Times New Roman" w:hAnsi="Times New Roman" w:eastAsia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Процеcc описывает автоматизированную обработку входящего документа в суде:от первичной регистрации документа и проверки формальных требований (1 и 2 группы проверок) до принятия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решения  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его статусе (отклонение или принятие). Успешно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прошедшие  проверку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документы регистрируются в системе, при необходимости- распределяются и передаются конкретному судье с фиксацией факта передачи в электронном реестре. Не прошедшие проверку документы отклоняются и считаются не поданными.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tcW w:w="3122" w:type="dxa"/>
            <w:textDirection w:val="lrTb"/>
            <w:noWrap w:val="false"/>
          </w:tcPr>
          <w:p>
            <w:pPr>
              <w:pStyle w:val="868"/>
              <w:ind w:left="152"/>
              <w:spacing w:before="121" w:line="2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bookmarkStart w:id="0" w:name="_GoBack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rFonts w:ascii="Times New Roman" w:hAnsi="Times New Roman" w:eastAsia="Times New Roman" w:cs="Times New Roman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канцелярии, Сотрудник,ответственный за распределение, судья,помощник судьи, секретарь СЗ,специалист судебного состава,председатель,заместитель председателя,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Лицо, подавшее документы в суд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618"/>
        </w:trPr>
        <w:tc>
          <w:tcPr>
            <w:tcW w:w="3122" w:type="dxa"/>
            <w:textDirection w:val="lrTb"/>
            <w:noWrap w:val="false"/>
          </w:tcPr>
          <w:p>
            <w:pPr>
              <w:pStyle w:val="868"/>
              <w:ind w:left="152"/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Арбитражный процессуальный кодекс Российской Федерации от 24.07.2002 N 95-ФЗ (ред. от 01.04.2025)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865"/>
        <w:spacing w:before="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0"/>
        <w:ind w:left="0" w:right="0" w:firstLine="0"/>
        <w:spacing w:before="450" w:after="0" w:line="85" w:lineRule="atLeast"/>
        <w:shd w:val="clear" w:color="ffffff" w:fill="ffffff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 xml:space="preserve">1. Реестр US 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tbl>
      <w:tblPr>
        <w:tblStyle w:val="871"/>
        <w:tblW w:w="0" w:type="auto"/>
        <w:tblInd w:w="3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38"/>
        <w:gridCol w:w="5989"/>
        <w:gridCol w:w="497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Я КАК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ХОЧУ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ЧТОБЫ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читаемость входящего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возможность дальнейшей обработки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полноту входящего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выявить отсутствие обязательных материалов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физическое состояние бумажного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пригодность документа к обработке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оформить возврат документа,поданного с нарушениями правил подачи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юридически значимо зафиксировать отказ в приеме входящего документа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сверить приложения с описью этих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выявить расхождения в составе материалов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оформить акт о расхождениях в приложениях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отсутствие приложений или несоответствие приложений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формат электронного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соответствие требованиям электронной подачи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электронную подпись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действительность электронного документа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уведомить заявителя о принятии электронного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подтвердить принятие документа судом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уведомить заявителя об отклонении электронного 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сообщить заявителю основания отклонения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зарегистрировать входящий документ/дело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обеспечить соблюдения требований закона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связь входящего документа с судебным делом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корректно передать поступивший документ по делу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Сотрудник, ответственный за распределение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распределить зарегистрированное дело судье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передать дело конкретному судье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получить уведомление о поступлении дела/документа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своевременно начать работу с делом/документом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подтвердить получение дела/документа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факт получения дела/документа для рассмотрения</w:t>
            </w:r>
            <w:r/>
          </w:p>
        </w:tc>
      </w:tr>
    </w:tbl>
    <w:p>
      <w:pPr>
        <w:pStyle w:val="865"/>
        <w:spacing w:before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0"/>
        <w:ind w:left="0" w:right="0" w:firstLine="0"/>
        <w:spacing w:before="450" w:after="0" w:line="85" w:lineRule="atLeast"/>
        <w:shd w:val="clear" w:color="ffffff" w:fill="ffffff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2"/>
          <w:sz w:val="24"/>
          <w:szCs w:val="24"/>
        </w:rPr>
        <w:t xml:space="preserve">2.  Процесс To Be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firstLine="0"/>
        <w:tabs>
          <w:tab w:val="left" w:pos="60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2.1 Схема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процесса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5"/>
        <w:spacing w:before="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tabs>
          <w:tab w:val="left" w:pos="60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2.2 Описание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схемы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процесса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229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2995"/>
        <w:gridCol w:w="12331"/>
        <w:gridCol w:w="6378"/>
      </w:tblGrid>
      <w:tr>
        <w:tblPrEx/>
        <w:trPr>
          <w:trHeight w:val="6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Наименование элемента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Выявленные нормативные ограничения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78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Поступил входящий электронный документ(-ы)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Поступление входящего электронного документа в систему инициирует запуск процесса.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60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карточку входящего 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Создание новой карточки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:Входящий электронный документ.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данные:Карточка входящего документа</w:t>
              <w:br/>
              <w:br/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писание:  Система, при поступлении электронного входящего документа, создает электронную карто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чку входящего документа. Система заполняет карточку  входящего документа данными из входящего документа. Если в Систему поступает дело, то для него так же сначала создается карточка входящего документа. Внутри карточки указывается вид входящего документа.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Виды входящего электронного документа: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1.Первичный документ, возбуждающий производство.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2.Вторич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ный документ/иной документ по уже существующему делу.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3.Обособленный спор.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4.Материалы электронного дела с апелляционной/кассационной жалобой.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5.Материалы электронного дела, переданные из другого суда (того же уровня/вышестоящей инстанции/нижестоящей инстанции).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В системе создана карточка входящего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Присвоить уникальный номер входящего 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Присвоение уникального номера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Входящий электронный документ.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 Система присваивает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карточке входящего документа  уникальный идентификатор (номер/UUID) и закрепляется за комплектом конкретного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br/>
              <w:t xml:space="preserve">Результат: Входящему документу присвоен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уникальный идентификационный номер.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9" w:tooltip="https://itpm-wiki.mos.ru/pages/viewpage.action?pageId=533163222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ТБП141.Выполнить формальные проверки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Происходит вызов подпроцесса ТБП141, в котором происходит автоматическая проверка Системой входящего электронного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Входящий электронный документ.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Переход к типовому процессу «Выполнить формальные проверки». В ходе этого подпроцесса Система проверяет документ на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читаемость; на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полноту документа (наличие всех страниц, отсутствие обрывов текста, наличие ПД при подачи пакета документов, возбуждающих процесс рассмотрения); 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корректность отображения электронных файлов (открываются ли, не повреждены ли).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 случае выявления не соответствия хотя бы одного пункта из списка выше, система записывает необходимость отклонить документ.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Результат: Вывод системы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о соответствии документа «техническим» требованиям 1 группу проверок или о несоответствии документа эти требованиям (основания для отклонения системой такого документа).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 соответствует техническим требованиям?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Движение 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 результатам технических проверок (1 группа проверок)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Если нарушений 1 группы проверок не выявлено системой или если документ был оцифрованн пользователем, то происходит переход к шагу 13  процесса. Если выявлены нарушения технических требований к документу, то переход к шагу 5 процесса.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Сформировать уведомление об отклонении 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Сформировать уведомление об отклонении документа по техническим причинам (по результатам формальных проверок).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входящего документа Системой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Система формирует уведомление об отклонении документа(ов) в котором указывается причина(ы) отклонения с указанием: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1.Наименования суда</w:t>
              <w:br/>
              <w:t xml:space="preserve">2.Наименования полученного документа(ов)</w:t>
              <w:br/>
              <w:t xml:space="preserve">3.Даты и времени обращения в информационную систему</w:t>
              <w:br/>
              <w:t xml:space="preserve">4.Даты и времени получения документа(ов) судом</w:t>
              <w:br/>
              <w:t xml:space="preserve">5.Номера (уникальный идентификатор) документа(ов)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Результат:Сформированное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входящего документа Системой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Направить уведомление в ЛК заявителя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Уведомить лицо, подавшее документы об их отклонении.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входящего документа Системой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Система направляет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уведомление об откл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онении поданных документов в личный кабинет лица, подавшего документ (или иной канал, указанный лицом, подавшим документ, как основной (например ЕПГУ,РПГУ, электронная почта)) и фиксирует факт отправки уведомления (дата и время, идентификатор отправления).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Направленное системой уведомление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об отклонении входящего документа. В системе сохранены данны о дате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времени направления, идентификатор отправления.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документа изменен с "Поступил в суд" на "Отклонен системой"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Изменения статуса документа в случае отклонения системой по результатам 1 группы проверок.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анные: Отсутствуют</w:t>
              <w:br/>
              <w:br/>
              <w:t xml:space="preserve">Описание: Происходит смена статуса входящего документа  с  «Поступил в суд» на «Отклонен системой», так как входящий документ не прошел технические проверки и был отклонен Системой автоматически. </w:t>
              <w:br/>
              <w:t xml:space="preserve">Результат: Статус карточки документа =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"Отклонен системой"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548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Документы автоматически отклонены системой как не прошедшие технические проверки.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 Документ отклонен.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839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Поступил входящий документ на бумажном носителе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Поступление  в канцелярию суда документов на бумажном носителе инициирует запуск процесса.</w:t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4544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карточку входящего 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Создание в Системе карточки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анные: Отсутствуют</w:t>
              <w:br/>
              <w:br/>
              <w:t xml:space="preserve">Описание:Пользователь нажимает кнопку создания новой карточки до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кумента для целей добавления в систему документов, поступивших на бумажном носителе. При создании карточки документа автоматически присваивается уникальный номер документа. При создании карточки пользователь указывает вид поступившего входящего документа.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Виды входящего бумажного документа: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1.Первичный документ, возбуждающий производство;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2.Вторич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ный документ/иной документ по уже существующему делу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3.Обособленный спор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4.Дело с апелляционной/кассационной жалобой,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5.Дело, переданное из другого суда (того же уровня/вышестоящей инстанции/нижестоящей инстанции).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В системе создана карточка входящего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Оцифровать документ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Выполнить оцифровку бумажного документа (сканирование) и прикрепить электронный образ к карточке документа, обеспечив дальнейшую обработку в электронном виде.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Входящий документ на бумаге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Оцифрованный входящий документ</w:t>
              <w:br/>
              <w:br/>
              <w:t xml:space="preserve">Описание: С созданную карточку дела пользователь подгружает предварительно оцифрованные документы, поступившие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на бумажном носителе.  Если поступило бумажное дело, то сотрудник канцелярии оцифровывает такое дело для добавление в систему.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Оцифрованные документы загружены в систему.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Заполнить карточку документа данными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Заполнение карточки документа данными.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Оцифрованный входящий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писание: Система обрабатывает оцифрованный входящий документ и заносит данные в созданную пользователем карточку документа. </w:t>
              <w:br/>
              <w:t xml:space="preserve">Результат: Карточка документа заполнена данными оцифрованного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pStyle w:val="868"/>
              <w:ind w:left="0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94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3  и шага 7 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15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Документу присвоен статус "Поступил в суд"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Присвоение статуса поступления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Входящему документу присваивается статус «Поступил в суд».</w:t>
              <w:br/>
              <w:t xml:space="preserve">Результат: Статус карточки документа =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"Поступил в суд"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15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Определить порядок регистрации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Система определяет порядок регистрации в зависимости от вида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 Входящий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писание: Система анализирует данные о виде входящего  документа и определяет дальнейшее движения по принятию и регистрации. Если вид входящего документа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«Дело с апелляционной/кассационной жалобой» или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«Дело, переданное из другого суда (того же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уровня/вышестоящей инстанции/нижестоящей инстанции)», то система переходит сразу к регистрации такого входящего документа (переход к шагу 31 процесса). Для всех других видов документов  Система будет запускать анализ 2 группы проверок (переход к шагу 17).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Карточка документа заполнена данными оцифрованного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203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Необходимо зарегистрировать дело, поступившее из другого суда?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 Маршрутизация процесса.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406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Проанализировать поступивший документ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Анализ входящего документа на соответствие требованиям закона о подаче документов вэлектронно виде.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Входящий документ.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анализирует поступивший документ и приложения к нему на соответствие требованиям закона к документам, поданным в электронном виде. Система проверяет соблюдение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требований к форме подачи документов в суд в электронном виде,предусмотренные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Приказом Судебного департамента при Верховном Суде РФ от 28.12.2016 N 252 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придет к выводу, что документ надлежит отклонить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, если: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1) обращение в суд является идентичным ранее направленному обращению (за исключением ПД по банкротству. ПД по банкротству принимаются и регистрируются).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2) Страницы документа (документов) перевернуты; документ (документы) содержит не все страницы; отсутствует возможность определить наличие всех страниц (нет нумерации);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отсутствует связный текст;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3) файл обращения в суд и (или) файлы прилагаемых к нему документов представлены в форматах, не предусмотренных Порядком подачи документов;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обращение в суд и (или) прилагаемые к нему документы не представлены в виде отдельных файлов: в одном файле содержится несколько электронных документов или несколько электронных образов документов. 6)Наименование файлов не позволяет идентифицировать докум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енты, в них содержащиеся;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7) файл обращения в суд и (или) файлы прилагаемых к нему документов и (или) данные, содержащиеся в них, не доступны для работы, в частности: защищены от копирования и (или) печати, содержат интерактивные или мультимедийные элементы, внедренные сценарии на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языке JavaScript или любых других языках программирования;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8) в нарушение законодательства Российской Федерации и Порядка подачи документов обращение в суд в виде электронного документа не подписано усиленной квалифицированной электронной подписью либо обращение в суд в виде электронного образа документа не завере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но усиленной квалифицированной электронной подписью;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9) электронный образ обращения в суд не содержит графической подписи лица, обратившегося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0) электронная подпись не соответствует виду или формату, установленным Порядком подачи документов. Усиленная квалифицированная электронная подпись не прошла проверку: на момент подписания документа срок действия сертификата электронной подписи истек, элек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тронная подпись не соответствует документу, документ был изменен (модифицирован) после подписания его электронной подписью;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11) номер дела, указанный пользователем при подаче документов, не соответствует номеру дела, указанному в обращении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12) к обращению в суд, подаваемому представителем, не приложен документ, подтверждающий полномочия представителя на предъявление документов в суд;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13) нарушены иные требования к электронным документам и (или) электронным образам документов, установленные Порядком подачи документов.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Результат: Данные, сформированные Системой в результате проведенного Системой анализа 2-ой группы проверок.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Сформировать протокол проверки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Сформировать протокол проверки.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Протокол проверки входящего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Описание: 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формирует протокол проверки как единый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результат анализа. В протоколе проверки должны быть выводы по проверке, обнаруженные несоответствия, отсутствующие приложения, соответствие или несоответствие поданных документов требован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иям закона. Сис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тема сохраняет  протокол проверки в карточке входящего документа и уведомляет пользователя о необходимости проверить выводы Системы.</w:t>
              <w:br/>
              <w:t xml:space="preserve">Результат: Сформированный протокол проверки. Пользователю направлено уведомление о необходимости проверить выводов системы.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179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0" w:tooltip="https://itpm-wiki.mos.ru/pages/viewpage.action?pageId=533163178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ТБП139.Проверить выводы системы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Проверка пользователем выводов системы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Протокол проверки входящего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  <w:br/>
              <w:br/>
              <w:t xml:space="preserve">Описание:</w:t>
              <w:br/>
              <w:t xml:space="preserve">Происходит вызов ТБП139 «Проверить выводы системы», в ходе которого пользователь проверит выводы системы и в случае, если они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корректны подтвердит их, а в случае, если они не корректны-внесет необходимые корректировки и после этого подтвердит корректность данных.</w:t>
              <w:br/>
              <w:t xml:space="preserve">Результат: Выводы системы по  проверке входящего документа, подтвержденные пользователем как корректные.</w:t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4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 из протокола проверки есть основания для отклонения документа?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Определение маршрутизации процесса на 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новании протокола проверки, сформированного системой и провалидированного пользователем. Если в ходе проверки установлены основания для отклонения, то переход к шагу 19 процесса. Если оснований для отклонения не установлено, то переход к шагу 23 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Сформировать уведомление об отклонении с указанием основания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Назначение:Формирование уведомления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 отклонении документа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документа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</w:t>
              <w:br/>
              <w:t xml:space="preserve">Система формирует уведомление об отклонении с указанием оснований для отклонения входящих документов.</w:t>
              <w:br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В уведомлении указывается наименование суда, направляющего уведомление, наименования полученного обращения в суд и прилагаемых документов, дата и время поступления обращения в информационную систему и дата и время его получения судом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, уникальный идентификационный номер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Результат:Уведомление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 отклонении документа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сформировано Системой.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12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Направить уведомление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Уведомить лицо, подавшее документы об их отклонении.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документа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направляет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уведомление об откл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онении поданных документов в личный кабинет лица, подавшего документ (или иной канал, указанный лицом, подавшим документ, как основной (например ЕПГУ,РПГУ, электронная почта)) и фиксирует факт отправки уведомления (дата и время, идентификатор отправления).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об отклонении документа канцелярией суда направлено лицу, его подавшему.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 системе сохранены данны о дате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времени направления, идентификатор отправления.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87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документа изменен с "Поступил в суд" на 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Отклонен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Промежуточное простое событие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(смена статуса)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Изменения статуса документа в случае отклонения системой по результатам 2 группы проверок.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Происходит смена статуса входящего документа  с  «Поступил в суд» на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Отклонен канцелярией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», так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входящий документ не прошел проверки на соответствие документа требованиям закона к их подаче в суд в электронном формате (2 группа проверок) и был отклонен после валицации пользователем (сотрудником канцелярии).</w:t>
              <w:br/>
              <w:t xml:space="preserve">Результат: Статус карточки документа =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"Отклонен канцелярией суда"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196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 отклонен в связи с несоблюдением условий подачи документа в электронной форме.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 отклонен, так как не соблюдены условия подачи документа в суд, установленные законом.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46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Проверить комплект документов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pStyle w:val="873"/>
              <w:spacing w:after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проверка комплектности поступивших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Входящий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сопоставить фактически приложенные документы с заявленным составом/перечнем и выявить отсутствующие документы (если есть).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Система анализирует все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подлинники и копии докумен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тов,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указанные в электронной описи приложений к основному документу. Система  проверяет соответствие по количеству фактически поданных документов и их наименованию в электронной 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писи документов. Если при анализе выявлены несоответствия, то система  перейдет к процессу создания Акта об отсутствии (шаг 27  процесса), а если все документы соответствуют описи, то система перейдет к формированию уведомления о принятии (шаг 29 процесса)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Вывод о фактическом наличии/отсутствии приложенных документов.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72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Есть отсутствующие документы?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Маршрутизация по процессу.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1" w:tooltip="https://itpm-wiki.mos.ru/pages/viewpage.action?pageId=533164355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ТБП49.Сформировать и подписать документ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Вызов подпроцесса  «Сформировать и подписать документ» для создания акта об отсутствии документов.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Акт об отсутствии до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кументов</w:t>
              <w:br/>
              <w:br/>
              <w:t xml:space="preserve">Описание: Система формирует текст акта об отсутствии документов, пользователь (сотрудник канцелярии) валидирует его и подписывает его УКЭП.</w:t>
              <w:br/>
              <w:t xml:space="preserve">Результат:</w:t>
              <w:br/>
              <w:t xml:space="preserve">Сформированный Системой и подписанный УКЭП сотрудника канцелярии акт об отсутствии документов.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97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26  по ветке нет, и шага 27 процесса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Сформировать уведомление о получении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Формирование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уведомления о получении входящего документа судом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Уведомление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 получении входящего документа судом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</w:t>
              <w:br/>
              <w:t xml:space="preserve">Система формирует уведомление о получении документов судом, в котором должно быть указано: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1.Наименования суда</w:t>
              <w:br/>
              <w:t xml:space="preserve">2.Наименование полученного документа(ов)</w:t>
              <w:br/>
              <w:t xml:space="preserve">3.Дата и время обращения в информационную систему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4.Дата и время получения документа(ов) судом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5.Номера (уникальный идентификатор) документа(ов)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6. Текстовое сообщение о том, что документы приняты судом.</w:t>
              <w:br/>
              <w:t xml:space="preserve">Результат:</w:t>
              <w:br/>
              <w:t xml:space="preserve">Сформированное Системой уведомление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 получении входящего документа судом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654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2" w:tooltip="https://itpm-wiki.mos.ru/pages/viewpage.action?pageId=533163557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ТБП46.Направить документ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Уведомление лица, подавшего документы, о принятии судом поданных им документов.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данные: Уведомление о получении, Акт об отсутствии документов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 получении, Акт об отсутствии документов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Вызов подпроцесса  ТБП46 «Направить документ», в котором происходит процесс направления уведомления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личный кабинет лица, подавшего документ (или иной канал, указанный лицом, подавшим документ, как основной (например ЕПГУ,РПГУ, электронная почта)) и фиксирует факт отправки уведомления (дата и время, идентификатор отправления).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Направленное в личный кабинет лица, подавшего документ, уведомление о получении документов судом Если был составлен акт об отсутствии документов, то такой акт направлен вместе с уведомлением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 системе сохранены данны о дате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времени направления, идентификатор отправления.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Приказ Судебного департамента при Верховном Суде РФ от 28.12.2016 N 252 (ред. от 20.02.2018) "Об утверждении Порядка подачи 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арбитражные суды Российской Федерации документов в электронном виде, в том числе в форме электронного документа»,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Верховного Суда РФ от 26.12.20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3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шагов 16 по ветке «Да»  и 30 в один поток.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195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3" w:tooltip="https://itpm-wiki.mos.ru/pages/viewpage.action?pageId=533164826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ТБП55.Зарегистрировать дело/документ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Регистрация документа в системе.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Входящий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Зарегистрированный документ/дело</w:t>
              <w:br/>
              <w:br/>
              <w:t xml:space="preserve">Описание: Происходит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вызов типового процесса «Зарегистрировать дело/документ». В ходе данного процессе происходит регистрация входящего документа, прошедшего 1 и 2 группу проверок, в Системе суда.Любой входящий доку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мент, прошедший проверки должен быть зарегистрирован  в системе суда той инстанции, в которую он поступил. Ход регистрации зависит от вида поступившего документа и инстанции, в которой происходит процесс. Весь ход процесса описан внутри  ТБП55.</w:t>
              <w:br/>
              <w:t xml:space="preserve">Результат: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Входящий документ зарегистрирован в системе суда как дело или как вторичный/иной документ по уже существующему делу или как обособленный спор.</w:t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документа изменен с "Поступил в суд" на "Зарегистрирован"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(смена статуса)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Изменение статуса документа в случае регистрации.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Зарегистрированный входящий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После завершения регистрации входящего документа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происходит смена статуса входящего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"Поступил в суд" на "Зарегистрирован".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Статус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документа  = «Зарегистрирован».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604"/>
        </w:trPr>
        <w:tc>
          <w:tcPr>
            <w:shd w:val="clear" w:color="ffffff" w:fill="ffffff"/>
            <w:tcW w:w="1260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2995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Определить необходимость распределения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W w:w="12331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Определение необходимости распределения.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Зарегистрированное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Система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направляет для распределения (переход к шагу 35 процесса)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Поступившие ПД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Дела, направленные на новое рассмотрение в тот же суд, но в ином составе суда.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Дело с АЖ/КЖ, поступившее в суд вышестоящей инстанции.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Система не направляет на распределение (переход к шагу 39 процесса).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1.Вторичные документы по уже существующем делу. Эти документы Система передает в состав того судьи, который рассматривает дело.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2.Дела направленные на новое рассмотрение в том же составе суда. Такие документы передаются судье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, который рассматривал дело.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3. Обособленные споры передаются судье, рассматривающему основное дело о несостоятельности (банкротству).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6378" w:type="dxa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96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Необходимо распределить дело/документ?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маршрутизация по процессу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4" w:tooltip="https://itpm-wiki.mos.ru/pages/viewpage.action?pageId=533161911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ТБП106.Передать документ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Передача документа/дела для распределения сотруднику, ответственному за распределение.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 канцелярии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Зарегистрированное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Запись в  электронном реестре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Вызов типового процесса ТБП106. Передать документ. В ходе этого процесса будет создана новая запись в электронном реестре, зарегистр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ированное дело/документ, по которому необходимо распределение будет передан сотрудником канцелярии сотруднику ответственному за распределение. Сотрудник поставит отметку в электронном реестре, что принял дело для распределения. В системе будет зафиксирован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 информация о том, что зарегистрированное дело закреплено за сотрудником, ответственным за распределение.</w:t>
              <w:br/>
              <w:t xml:space="preserve">Результат: Зарегистрированное дело/документ передан сотруднику ответственному за распределение по электронному реестру с фиксацией процесса передачи.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1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5" w:tooltip="https://itpm-wiki.mos.ru/pages/viewpage.action?pageId=533164762" w:history="1">
              <w:r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ТБП54.Распределить дело судье</w:t>
              </w:r>
            </w:hyperlink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Распределение дела/документа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Сотрудник, ответственный за распределение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Зарегистрированное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Распределенное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Вызов типового процессаТБП54  «Распределить 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ело судье». В ходе данного процесса происходит распределение зарегистрированного дела/документа на конкретного судью, сведения о распределении фиксируются в электронном журнале распределения, формируется АРПД.</w:t>
              <w:br/>
              <w:t xml:space="preserve">Результат: Дело/документ распределен на судью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 статус дела/документа с "Зарегистрирован" на "Распределен"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 (смена статуса)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статуса дела/документа после распределения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После завершения распределения зарегистрированного дела/документа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происходит смена статуса дела/документа 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"Поступил в суд" на "Зарегистрирован".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Статус дела/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документа  = «Зарегистрирован».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13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объединение потоков шага 35 по ветке «нет» и шага 38 процесса в один поток.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запись о передаче судье в реестре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Заполнение электронного реестра о передаче дела/документа судье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Новая запись в электронном реестре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</w:t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Система создает новую запись в электронном реестре передачи дел/документов, фиксируя,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какой документ/дело передается, каким сотрудником, кому передается (судье/председателю суда), дата и время передачи, основание передачи/примечание.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</w:t>
              <w:br/>
              <w:t xml:space="preserve">Создана новая запись в  электронном реестре передачи дел/документов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Указать в реестре ссылку на карточку дела/документа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В реестр добавляется ссылка на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данные: Ссылка на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Реестр передачи со ссылкой на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</w:t>
              <w:br/>
              <w:t xml:space="preserve">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прикрепляет к новой записи в реестре передачи дел документов ссылку (идентификатор) на карточку дела/документа для однозначной связности реестра и материалов электронного дела или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В реестр добавлена ссылка на дело/документ.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Уведомить о направлении документа/дела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Уведомление пользователя о поступлении нового дела/документа, который необходимо принять.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 передаче дела для судьи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br/>
              <w:t xml:space="preserve">Описание: 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создает уведомление для пользователя о необходимости принять дел/документ. В уведомление есть ссылка на электронный реестр передачи дел/документов.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Пользователю направлено уведомление о необходимости принять входящий документ/дело.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Подтвердить получение документа/дела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Подтверждение получения дела/документа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Судья/помощник судьи/секретарь СЗ/специалист судебного состава/председатель/заместитель председателя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Уведомление о передаче дела для судьи,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Реестр передачи со ссылкой на дело/документ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делает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отметку в электронном реестре передачи о получении. Заносятся следующие сведения: кто принял, дата/время принятия, результат приёма/сверки, подпись УКЭП).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 электронном реестре занесены данные о получении дела/документа пользователем.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Необходимо внесения изменений в 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Обновить запись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  реестре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Обновление записи в реестре.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Электронный реестр с данными о получении дела/документа судьей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</w:t>
              <w:br/>
              <w:br/>
              <w:t xml:space="preserve">Описание: 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добавляет  итоговые сведения о принятии дела/документа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и 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бновляет запись в электронном реестре передачи дел/документов.</w:t>
              <w:br/>
              <w:t xml:space="preserve">Результат: Реестр передачи дел/документов с данными о передаче входящего дела/документа конкретному пользователю.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400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 статус  дела/документа с "Зарегистрирован"/"Распределен" на "Передан судье"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Промежуточное простое событие (изменение статуса)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статуса дела/документа после передачи пользователю.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Роль: 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  <w:br/>
              <w:br/>
              <w:t xml:space="preserve">Описание: В системе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изменяется статус входящего дела/документа с «Зарегистрирован»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/«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Распределен» на «Передан судье».</w:t>
              <w:br/>
              <w:t xml:space="preserve">Результат: Статус дела/документа = «Передан судье»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78"/>
        </w:trPr>
        <w:tc>
          <w:tcPr>
            <w:shd w:val="clear" w:color="auto" w:fill="auto"/>
            <w:tcW w:w="12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99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Входящий документ принят. Передан судье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12331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процесса принятия входящего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6378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8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right="342"/>
        <w:spacing w:line="280" w:lineRule="auto"/>
        <w:tabs>
          <w:tab w:val="left" w:pos="660" w:leader="none"/>
        </w:tabs>
        <w:rPr>
          <w:rFonts w:ascii="Times New Roman" w:hAnsi="Times New Roman" w:cs="Times New Roman"/>
          <w:spacing w:val="-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</w:p>
    <w:p>
      <w:pPr>
        <w:ind w:right="342"/>
        <w:spacing w:line="280" w:lineRule="auto"/>
        <w:tabs>
          <w:tab w:val="left" w:pos="66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2.</w:t>
      </w: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3.</w:t>
      </w: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Реестр</w:t>
      </w: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UC</w:t>
      </w:r>
      <w:r>
        <w:rPr>
          <w:rStyle w:val="692"/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right="342"/>
        <w:spacing w:line="280" w:lineRule="auto"/>
        <w:tabs>
          <w:tab w:val="left" w:pos="660" w:leader="none"/>
        </w:tabs>
        <w:rPr>
          <w:rFonts w:ascii="Times New Roman" w:hAnsi="Times New Roman" w:cs="Times New Roman"/>
          <w:spacing w:val="-2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-2"/>
          <w:sz w:val="24"/>
          <w:szCs w:val="24"/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UC-001 — Оцифровка поступившего входящего документа на бумаге</w:t>
      </w:r>
      <w:r/>
    </w:p>
    <w:tbl>
      <w:tblPr>
        <w:tblStyle w:val="87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01"/>
        <w:gridCol w:w="8453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9-12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Оцифровка входящего документа, поступившего на бумажном носителе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Создать цифровую версию входящего бумажного документа в Системе.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Бумажный документ преобразован в электронный образ установленного формата, информация от ЛУВД(наименование юридического лица, ИНН, ФИО, паспортные данные, адрес регистрации, контактные данные сторон, основное требование(предмет спора), сумма(ы) требования,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номер дела(если документ по существующему делу) занесены в карточку документа в Системе.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 со сканером, версионность(для отслежиния дубликатов документов), сохранение цифрового документа в карточке документа, Распознавание текста, предпросмотр результата сканирования, Формирование электронного образа по отсканированному документу.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нажал кнопку, отвечающую за переход к процессу оцифровки входящего бумажного документа.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авторизован в системе и имеет доступ к функционалу создания и редактирования карточки(ек) входящих документов, доступны справочники тип документа, в системе существуют правила для обработки документов в зависимости от выбранного типа документа по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льзователем, определены обязательные поля.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1.Сотрудник канцелярии нажимает элемент интерфейса создания карточки нового входящего документа в системе.</w:t>
              <w:br/>
              <w:t xml:space="preserve">2.Система открывает форму создания новой карточки входящего документа.</w:t>
              <w:br/>
              <w:t xml:space="preserve">3. Система предлагает выбрать тип входящего документа.</w:t>
              <w:br/>
              <w:t xml:space="preserve">4. Сотрудник выбирает 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ип документа из предложенных  вариантов: «Первичный документ» «Вторичный документ по делу», «Иной документ по делу» «Обособленный спор», «Дело с апелляционной жалобой», «Дело с  кассационной жалобой», «Дело, переданное из другого суда».</w:t>
              <w:br/>
              <w:t xml:space="preserve">5. Система создает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новую карточку входящего документа с полями в зависимости от типа выбранного документа.</w:t>
              <w:br/>
              <w:t xml:space="preserve">6. Система отображает уникальный номер созданной карточке документа.</w:t>
              <w:br/>
              <w:t xml:space="preserve">7. Сотрудник канцелярии в созданной карточке дела нажимает элемент интерфейса «Оцифровать документ»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  <w:t xml:space="preserve">8. Система отображает форму «Загрузить отсканированный документ» </w:t>
              <w:br/>
              <w:t xml:space="preserve">9. Сотрудник канцелярии нажимает элемент интерфейса «Загрузить».</w:t>
              <w:br/>
              <w:t xml:space="preserve">10. Система отображает форму выбора документа.</w:t>
              <w:br/>
              <w:t xml:space="preserve">11. Сотрудник канцелярии выбирает документ </w:t>
              <w:br/>
              <w:t xml:space="preserve">12. Система отображает документ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форме для загрузки.</w:t>
              <w:br/>
              <w:t xml:space="preserve">13. Сотрудник канцелярии нажимает на элемент интерфейса «Запустить распознавание» </w:t>
              <w:br/>
              <w:t xml:space="preserve">14. Система отображает созданный электронный образ документа в поле.</w:t>
              <w:br/>
              <w:t xml:space="preserve">15. Система отображает заполненные поля карточки документа согласно типа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  <w:t xml:space="preserve">16. Система выводит форму «Сохранить изменения»</w:t>
              <w:br/>
              <w:t xml:space="preserve">17. Сотрудник канцелярии нажимает элемент интерфейса «Сохранить»</w:t>
              <w:br/>
              <w:t xml:space="preserve">18. Система отображает статус карточки документа "Поступило в суд"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4б. Сотрудник отменяет создание карточки</w:t>
              <w:br/>
              <w:t xml:space="preserve">4б.1. Сотрудник канцелярии нажимает элемент интерфейса «Отменить» в форме создания карточки входящего документа.</w:t>
              <w:br/>
              <w:t xml:space="preserve">4б.2. Система закрывает форму создания карточки входящего документа.</w:t>
              <w:br/>
              <w:t xml:space="preserve">4б.3. Система отображает раздел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ходящих документов.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9а. Сотрудник отменяет запуск распознавания документа</w:t>
              <w:br/>
              <w:t xml:space="preserve">9а.1. Сотрудник канцелярии нажимает элемент интерфейса «Отменить» в форме «Загрузить отсканированный документ».</w:t>
              <w:br/>
              <w:t xml:space="preserve">9а.2. Система закрывает форму «Загрузить отсканированный документ».</w:t>
              <w:br/>
              <w:t xml:space="preserve">9а.3. Система отобража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ет созданную карточку входящего документа.</w:t>
              <w:br/>
              <w:t xml:space="preserve">9а.4. Возврат к шагу 7 основного сценария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16а. Сотрудник корректирует автоматически заполненные поля карточки</w:t>
              <w:br/>
              <w:t xml:space="preserve">16а.1. Сотрудник канцелярии изменяет значение автоматически заполненного поля карточки документа.</w:t>
              <w:br/>
              <w:t xml:space="preserve">16а.2. Система отображает измененное значение поля карточки документа.</w:t>
              <w:br/>
              <w:t xml:space="preserve">16а.3. Возврат на ш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аг 17 основного сценария.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17а. Сотрудник отменяет сохранение изменений</w:t>
              <w:br/>
              <w:t xml:space="preserve">17а.1. Сотрудник канцелярии нажимает элемент интерфейса «Отменить» в форме «Сохранить изменения».</w:t>
              <w:br/>
              <w:t xml:space="preserve">17а.2. Система закрывает форму «Сохранить изменения».</w:t>
              <w:br/>
              <w:t xml:space="preserve">17а.3. Система присваивает статус документа «Создан ошибочн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о».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UC-002 — Анализ входящего документа на соблюдение требований закона к подаче документов в суд.</w:t>
      </w:r>
      <w:r/>
    </w:p>
    <w:tbl>
      <w:tblPr>
        <w:tblStyle w:val="87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88"/>
        <w:gridCol w:w="846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17-19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 поступившего документа на соответствие установленным требованиям закона к подаче документов в Арбитражный суд.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Выявить наличие или отсутствие несоответствий требованиям к подаче документов в суд и зафиксировать результат проверки в системе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сформирован и сохранен протокол проверки входящего документа с указанием выявленных несоответствий либо с указанием на отсутствие несоответствий. Результат проверки подтвержден сотрудником канцелярии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Автоматизированная проверка формата файлов, наименований файлов, структуры документа согласно типа документа, комплектности обязательных элементов(приложений)в зависимости от основного документа, наличия приложений, читаемости электронного образа, интеграц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ия для проверки корректности распознанных реквизитов, доступность функционала протокола проверки.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канцелярии нажимает кнопку «Проверить требования к подаче» в карточке входящего документа.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Сотрудник канцелярии авторизован в системе. </w:t>
              <w:br/>
              <w:t xml:space="preserve">2. Входящий документ зарегистрирован или создан в системе. </w:t>
              <w:br/>
              <w:t xml:space="preserve">3. Документ имеет статус «Поступил в суд». </w:t>
              <w:br/>
              <w:t xml:space="preserve">4. Бумажный документ оцифрован либо электронный документ прошел первичную техническую проверку «Соответс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твует техническим требованиям».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1.Система отображает уведомление о необходимости проверить результаты автоматизированного анализа.</w:t>
              <w:br/>
              <w:t xml:space="preserve">2. Сотрудник нажимает на элемент интерфейса «Ознакомиться с протоколом проверки»</w:t>
              <w:br/>
              <w:t xml:space="preserve">3. Система отображает форму протокола проверки.</w:t>
              <w:br/>
              <w:t xml:space="preserve">4. Сотрудник канцелярии нажи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мает элемент интерфейса «Подтвердить результаты проверки.»</w:t>
              <w:br/>
              <w:t xml:space="preserve">5. Система присваивает статус протокола проверки «Проверка завершена, нарушений нет».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46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 В протоколе есть критерии, требующие ручной проверки</w:t>
              <w:br/>
              <w:t xml:space="preserve">3б.1. Система отображает форму протокола проверки.</w:t>
              <w:br/>
              <w:t xml:space="preserve">3б.2. Система отображает критерии со статусом «Требует ручной проверки».</w:t>
              <w:br/>
              <w:t xml:space="preserve">3б.3. Сотрудник канцелярии редактирует протокол проверки в части критериев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 статусом «Требует ручной проверки».</w:t>
              <w:br/>
              <w:t xml:space="preserve">3б.4. Возвращение к шагу 5 основного сценария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5а. В ходе анализа сделан вывод о несоблюдении требований</w:t>
              <w:br/>
              <w:t xml:space="preserve">5а.1. Система отображает статус протокола проверки «Проверка завершена, требования не соблюдены».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UC-003 — Передача дел/документов судье по электронному реестру.</w:t>
      </w:r>
      <w:r/>
    </w:p>
    <w:tbl>
      <w:tblPr>
        <w:tblStyle w:val="87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01"/>
        <w:gridCol w:w="8553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40-44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Фиксация статуса «Передан судье» в электронном реестре.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в системе передачу материалов судье, в реестре передачи дел/документов создана запись о дате и времени приёме дела/документа судьей.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 / Актор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электронном реестре создана запись о передаче дела или документа судье, содержащая ссылку на карточку дела / документа, сведения о судье, дату и время направления, статус передачи и отметку судьи о получении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формирование записи в электронном реестре, создание гиперссылки на карточку дела / документа, привязка записи реестра к карточке дела / документа, направление уведомления судье, доступ для просмотра переданных дел/документов судье, подтвержд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ение получения дел/документов через подписание УКЭП реестра дел/документов, фиксация даты и времени подписания УКЭП, обновление статусов записей.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нажал кнопку «Зарегистрировать» или пользователь нажал кнопку «Подтвердить распределение».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Карточка дела / документа существует в системе. </w:t>
              <w:br/>
              <w:t xml:space="preserve">2. Дело / документ имеет статус «Зарегистрирован» или «Распределен». </w:t>
              <w:br/>
              <w:t xml:space="preserve">3. В карточке дела / документа указан судья, которому передаются материалы. </w:t>
              <w:br/>
              <w:t xml:space="preserve">4. У судьи есть права доступа к передаваемому делу / доку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менту.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Система отображает судье уведомление о поступлении дела / документа.</w:t>
              <w:br/>
              <w:t xml:space="preserve">2. Судья открывает карточку дела / документа </w:t>
              <w:br/>
              <w:t xml:space="preserve">3. Судья нажимает на элемент интерфейса «Подтвердить получение».</w:t>
              <w:br/>
              <w:t xml:space="preserve">4. Система отображает новый статус «Получено судьей».</w:t>
              <w:br/>
              <w:t xml:space="preserve">5. Система записыва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ет во внутреннем реестре данные: ФИО судьи, дату и время получения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53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3а. Судья выявляет ошибочную передачу дела / документа</w:t>
              <w:br/>
              <w:t xml:space="preserve">3а.1. Судья нажимает элемент интерфейса  «Сообщить о несоответствии».</w:t>
              <w:br/>
              <w:t xml:space="preserve">3а.2. Система отображает форму указания причины несоответствия.</w:t>
              <w:br/>
              <w:t xml:space="preserve">3а.3. Судья заполняет причину несоответствия в форму.</w:t>
              <w:br/>
              <w:t xml:space="preserve">3а.4. Судья н</w:t>
            </w:r>
            <w:r>
              <w:rPr>
                <w:sz w:val="24"/>
                <w:szCs w:val="24"/>
              </w:rPr>
              <w:t xml:space="preserve">ажимает элемент интерфейса  «Отправить».</w:t>
              <w:br/>
              <w:t xml:space="preserve">3а.5. Система отображает сообщение «Сведения о несоответствии сохранены».</w:t>
              <w:br/>
              <w:t xml:space="preserve">3а6. Судья нажимает на элемент интерфейса «Подтвердить получение».</w:t>
              <w:br/>
              <w:t xml:space="preserve">3а.7. Возврат к шагу 4 основного сценария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23811" w:h="16838" w:orient="landscape"/>
      <w:pgMar w:top="720" w:right="940" w:bottom="720" w:left="28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12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11"/>
  </w:num>
  <w:num w:numId="12">
    <w:abstractNumId w:val="1"/>
  </w:num>
  <w:num w:numId="13">
    <w:abstractNumId w:val="6"/>
  </w:num>
  <w:num w:numId="14">
    <w:abstractNumId w:val="2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6">
    <w:name w:val="Heading 1"/>
    <w:basedOn w:val="859"/>
    <w:next w:val="859"/>
    <w:link w:val="68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7">
    <w:name w:val="Heading 1 Char"/>
    <w:basedOn w:val="861"/>
    <w:link w:val="686"/>
    <w:uiPriority w:val="9"/>
    <w:rPr>
      <w:rFonts w:ascii="Arial" w:hAnsi="Arial" w:eastAsia="Arial" w:cs="Arial"/>
      <w:sz w:val="40"/>
      <w:szCs w:val="40"/>
    </w:rPr>
  </w:style>
  <w:style w:type="character" w:styleId="688">
    <w:name w:val="Heading 2 Char"/>
    <w:basedOn w:val="861"/>
    <w:link w:val="860"/>
    <w:uiPriority w:val="9"/>
    <w:rPr>
      <w:rFonts w:ascii="Arial" w:hAnsi="Arial" w:eastAsia="Arial" w:cs="Arial"/>
      <w:sz w:val="34"/>
    </w:rPr>
  </w:style>
  <w:style w:type="paragraph" w:styleId="689">
    <w:name w:val="Heading 3"/>
    <w:basedOn w:val="859"/>
    <w:next w:val="859"/>
    <w:link w:val="69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0">
    <w:name w:val="Heading 3 Char"/>
    <w:basedOn w:val="861"/>
    <w:link w:val="689"/>
    <w:uiPriority w:val="9"/>
    <w:rPr>
      <w:rFonts w:ascii="Arial" w:hAnsi="Arial" w:eastAsia="Arial" w:cs="Arial"/>
      <w:sz w:val="30"/>
      <w:szCs w:val="30"/>
    </w:rPr>
  </w:style>
  <w:style w:type="paragraph" w:styleId="691">
    <w:name w:val="Heading 4"/>
    <w:basedOn w:val="859"/>
    <w:next w:val="859"/>
    <w:link w:val="69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2">
    <w:name w:val="Heading 4 Char"/>
    <w:basedOn w:val="861"/>
    <w:link w:val="691"/>
    <w:uiPriority w:val="9"/>
    <w:rPr>
      <w:rFonts w:ascii="Arial" w:hAnsi="Arial" w:eastAsia="Arial" w:cs="Arial"/>
      <w:b/>
      <w:bCs/>
      <w:sz w:val="26"/>
      <w:szCs w:val="26"/>
    </w:rPr>
  </w:style>
  <w:style w:type="paragraph" w:styleId="693">
    <w:name w:val="Heading 5"/>
    <w:basedOn w:val="859"/>
    <w:next w:val="859"/>
    <w:link w:val="6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4">
    <w:name w:val="Heading 5 Char"/>
    <w:basedOn w:val="861"/>
    <w:link w:val="693"/>
    <w:uiPriority w:val="9"/>
    <w:rPr>
      <w:rFonts w:ascii="Arial" w:hAnsi="Arial" w:eastAsia="Arial" w:cs="Arial"/>
      <w:b/>
      <w:bCs/>
      <w:sz w:val="24"/>
      <w:szCs w:val="24"/>
    </w:rPr>
  </w:style>
  <w:style w:type="paragraph" w:styleId="695">
    <w:name w:val="Heading 6"/>
    <w:basedOn w:val="859"/>
    <w:next w:val="859"/>
    <w:link w:val="69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6">
    <w:name w:val="Heading 6 Char"/>
    <w:basedOn w:val="861"/>
    <w:link w:val="695"/>
    <w:uiPriority w:val="9"/>
    <w:rPr>
      <w:rFonts w:ascii="Arial" w:hAnsi="Arial" w:eastAsia="Arial" w:cs="Arial"/>
      <w:b/>
      <w:bCs/>
      <w:sz w:val="22"/>
      <w:szCs w:val="22"/>
    </w:rPr>
  </w:style>
  <w:style w:type="paragraph" w:styleId="697">
    <w:name w:val="Heading 7"/>
    <w:basedOn w:val="859"/>
    <w:next w:val="859"/>
    <w:link w:val="69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8">
    <w:name w:val="Heading 7 Char"/>
    <w:basedOn w:val="861"/>
    <w:link w:val="69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9">
    <w:name w:val="Heading 8"/>
    <w:basedOn w:val="859"/>
    <w:next w:val="859"/>
    <w:link w:val="70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0">
    <w:name w:val="Heading 8 Char"/>
    <w:basedOn w:val="861"/>
    <w:link w:val="699"/>
    <w:uiPriority w:val="9"/>
    <w:rPr>
      <w:rFonts w:ascii="Arial" w:hAnsi="Arial" w:eastAsia="Arial" w:cs="Arial"/>
      <w:i/>
      <w:iCs/>
      <w:sz w:val="22"/>
      <w:szCs w:val="22"/>
    </w:rPr>
  </w:style>
  <w:style w:type="paragraph" w:styleId="701">
    <w:name w:val="Heading 9"/>
    <w:basedOn w:val="859"/>
    <w:next w:val="859"/>
    <w:link w:val="70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2">
    <w:name w:val="Heading 9 Char"/>
    <w:basedOn w:val="861"/>
    <w:link w:val="701"/>
    <w:uiPriority w:val="9"/>
    <w:rPr>
      <w:rFonts w:ascii="Arial" w:hAnsi="Arial" w:eastAsia="Arial" w:cs="Arial"/>
      <w:i/>
      <w:iCs/>
      <w:sz w:val="21"/>
      <w:szCs w:val="21"/>
    </w:rPr>
  </w:style>
  <w:style w:type="paragraph" w:styleId="703">
    <w:name w:val="No Spacing"/>
    <w:uiPriority w:val="1"/>
    <w:qFormat/>
    <w:pPr>
      <w:spacing w:before="0" w:after="0" w:line="240" w:lineRule="auto"/>
    </w:pPr>
  </w:style>
  <w:style w:type="character" w:styleId="704">
    <w:name w:val="Title Char"/>
    <w:basedOn w:val="861"/>
    <w:link w:val="866"/>
    <w:uiPriority w:val="10"/>
    <w:rPr>
      <w:sz w:val="48"/>
      <w:szCs w:val="48"/>
    </w:rPr>
  </w:style>
  <w:style w:type="paragraph" w:styleId="705">
    <w:name w:val="Subtitle"/>
    <w:basedOn w:val="859"/>
    <w:next w:val="859"/>
    <w:link w:val="706"/>
    <w:uiPriority w:val="11"/>
    <w:qFormat/>
    <w:pPr>
      <w:spacing w:before="200" w:after="200"/>
    </w:pPr>
    <w:rPr>
      <w:sz w:val="24"/>
      <w:szCs w:val="24"/>
    </w:rPr>
  </w:style>
  <w:style w:type="character" w:styleId="706">
    <w:name w:val="Subtitle Char"/>
    <w:basedOn w:val="861"/>
    <w:link w:val="705"/>
    <w:uiPriority w:val="11"/>
    <w:rPr>
      <w:sz w:val="24"/>
      <w:szCs w:val="24"/>
    </w:rPr>
  </w:style>
  <w:style w:type="paragraph" w:styleId="707">
    <w:name w:val="Quote"/>
    <w:basedOn w:val="859"/>
    <w:next w:val="859"/>
    <w:link w:val="708"/>
    <w:uiPriority w:val="29"/>
    <w:qFormat/>
    <w:pPr>
      <w:ind w:left="720" w:right="720"/>
    </w:pPr>
    <w:rPr>
      <w:i/>
    </w:rPr>
  </w:style>
  <w:style w:type="character" w:styleId="708">
    <w:name w:val="Quote Char"/>
    <w:link w:val="707"/>
    <w:uiPriority w:val="29"/>
    <w:rPr>
      <w:i/>
    </w:rPr>
  </w:style>
  <w:style w:type="paragraph" w:styleId="709">
    <w:name w:val="Intense Quote"/>
    <w:basedOn w:val="859"/>
    <w:next w:val="859"/>
    <w:link w:val="71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0">
    <w:name w:val="Intense Quote Char"/>
    <w:link w:val="709"/>
    <w:uiPriority w:val="30"/>
    <w:rPr>
      <w:i/>
    </w:rPr>
  </w:style>
  <w:style w:type="paragraph" w:styleId="711">
    <w:name w:val="Header"/>
    <w:basedOn w:val="859"/>
    <w:link w:val="7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2">
    <w:name w:val="Header Char"/>
    <w:basedOn w:val="861"/>
    <w:link w:val="711"/>
    <w:uiPriority w:val="99"/>
  </w:style>
  <w:style w:type="paragraph" w:styleId="713">
    <w:name w:val="Footer"/>
    <w:basedOn w:val="859"/>
    <w:link w:val="7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4">
    <w:name w:val="Footer Char"/>
    <w:basedOn w:val="861"/>
    <w:link w:val="713"/>
    <w:uiPriority w:val="99"/>
  </w:style>
  <w:style w:type="paragraph" w:styleId="715">
    <w:name w:val="Caption"/>
    <w:basedOn w:val="859"/>
    <w:next w:val="8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6">
    <w:name w:val="Caption Char"/>
    <w:basedOn w:val="715"/>
    <w:link w:val="713"/>
    <w:uiPriority w:val="99"/>
  </w:style>
  <w:style w:type="table" w:styleId="717">
    <w:name w:val="Table Grid Light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8">
    <w:name w:val="Plain Table 1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2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0">
    <w:name w:val="Plain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1">
    <w:name w:val="Plain Table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Plain Table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3">
    <w:name w:val="Grid Table 1 Light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4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5">
    <w:name w:val="Grid Table 4 - Accent 1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6">
    <w:name w:val="Grid Table 4 - Accent 2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7">
    <w:name w:val="Grid Table 4 - Accent 3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8">
    <w:name w:val="Grid Table 4 - Accent 4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9">
    <w:name w:val="Grid Table 4 - Accent 5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0">
    <w:name w:val="Grid Table 4 - Accent 6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1">
    <w:name w:val="Grid Table 5 Dark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8">
    <w:name w:val="Grid Table 6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9">
    <w:name w:val="Grid Table 6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0">
    <w:name w:val="Grid Table 6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1">
    <w:name w:val="Grid Table 6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2">
    <w:name w:val="Grid Table 6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3">
    <w:name w:val="Grid Table 6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4">
    <w:name w:val="Grid Table 6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5">
    <w:name w:val="Grid Table 7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0">
    <w:name w:val="List Table 2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1">
    <w:name w:val="List Table 2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2">
    <w:name w:val="List Table 2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3">
    <w:name w:val="List Table 2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4">
    <w:name w:val="List Table 2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5">
    <w:name w:val="List Table 2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6">
    <w:name w:val="List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5 Dark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6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8">
    <w:name w:val="List Table 6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9">
    <w:name w:val="List Table 6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0">
    <w:name w:val="List Table 6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1">
    <w:name w:val="List Table 6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2">
    <w:name w:val="List Table 6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3">
    <w:name w:val="List Table 6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4">
    <w:name w:val="List Table 7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5">
    <w:name w:val="List Table 7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6">
    <w:name w:val="List Table 7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7">
    <w:name w:val="List Table 7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8">
    <w:name w:val="List Table 7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9">
    <w:name w:val="List Table 7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0">
    <w:name w:val="List Table 7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1">
    <w:name w:val="Lined - Accent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2">
    <w:name w:val="Lined - Accent 1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3">
    <w:name w:val="Lined - Accent 2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4">
    <w:name w:val="Lined - Accent 3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5">
    <w:name w:val="Lined - Accent 4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6">
    <w:name w:val="Lined - Accent 5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7">
    <w:name w:val="Lined - Accent 6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8">
    <w:name w:val="Bordered &amp; Lined - Accent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9">
    <w:name w:val="Bordered &amp; Lined - Accent 1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0">
    <w:name w:val="Bordered &amp; Lined - Accent 2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1">
    <w:name w:val="Bordered &amp; Lined - Accent 3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2">
    <w:name w:val="Bordered &amp; Lined - Accent 4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3">
    <w:name w:val="Bordered &amp; Lined - Accent 5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4">
    <w:name w:val="Bordered &amp; Lined - Accent 6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5">
    <w:name w:val="Bordered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6">
    <w:name w:val="Bordered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7">
    <w:name w:val="Bordered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8">
    <w:name w:val="Bordered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9">
    <w:name w:val="Bordered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0">
    <w:name w:val="Bordered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1">
    <w:name w:val="Bordered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2">
    <w:name w:val="footnote text"/>
    <w:basedOn w:val="859"/>
    <w:link w:val="843"/>
    <w:uiPriority w:val="99"/>
    <w:semiHidden/>
    <w:unhideWhenUsed/>
    <w:pPr>
      <w:spacing w:after="40" w:line="240" w:lineRule="auto"/>
    </w:pPr>
    <w:rPr>
      <w:sz w:val="18"/>
    </w:rPr>
  </w:style>
  <w:style w:type="character" w:styleId="843">
    <w:name w:val="Footnote Text Char"/>
    <w:link w:val="842"/>
    <w:uiPriority w:val="99"/>
    <w:rPr>
      <w:sz w:val="18"/>
    </w:rPr>
  </w:style>
  <w:style w:type="character" w:styleId="844">
    <w:name w:val="footnote reference"/>
    <w:basedOn w:val="861"/>
    <w:uiPriority w:val="99"/>
    <w:unhideWhenUsed/>
    <w:rPr>
      <w:vertAlign w:val="superscript"/>
    </w:rPr>
  </w:style>
  <w:style w:type="paragraph" w:styleId="845">
    <w:name w:val="endnote text"/>
    <w:basedOn w:val="859"/>
    <w:link w:val="846"/>
    <w:uiPriority w:val="99"/>
    <w:semiHidden/>
    <w:unhideWhenUsed/>
    <w:pPr>
      <w:spacing w:after="0" w:line="240" w:lineRule="auto"/>
    </w:pPr>
    <w:rPr>
      <w:sz w:val="20"/>
    </w:rPr>
  </w:style>
  <w:style w:type="character" w:styleId="846">
    <w:name w:val="Endnote Text Char"/>
    <w:link w:val="845"/>
    <w:uiPriority w:val="99"/>
    <w:rPr>
      <w:sz w:val="20"/>
    </w:rPr>
  </w:style>
  <w:style w:type="character" w:styleId="847">
    <w:name w:val="endnote reference"/>
    <w:basedOn w:val="861"/>
    <w:uiPriority w:val="99"/>
    <w:semiHidden/>
    <w:unhideWhenUsed/>
    <w:rPr>
      <w:vertAlign w:val="superscript"/>
    </w:rPr>
  </w:style>
  <w:style w:type="paragraph" w:styleId="848">
    <w:name w:val="toc 1"/>
    <w:basedOn w:val="859"/>
    <w:next w:val="859"/>
    <w:uiPriority w:val="39"/>
    <w:unhideWhenUsed/>
    <w:pPr>
      <w:ind w:left="0" w:right="0" w:firstLine="0"/>
      <w:spacing w:after="57"/>
    </w:pPr>
  </w:style>
  <w:style w:type="paragraph" w:styleId="849">
    <w:name w:val="toc 2"/>
    <w:basedOn w:val="859"/>
    <w:next w:val="859"/>
    <w:uiPriority w:val="39"/>
    <w:unhideWhenUsed/>
    <w:pPr>
      <w:ind w:left="283" w:right="0" w:firstLine="0"/>
      <w:spacing w:after="57"/>
    </w:pPr>
  </w:style>
  <w:style w:type="paragraph" w:styleId="850">
    <w:name w:val="toc 3"/>
    <w:basedOn w:val="859"/>
    <w:next w:val="859"/>
    <w:uiPriority w:val="39"/>
    <w:unhideWhenUsed/>
    <w:pPr>
      <w:ind w:left="567" w:right="0" w:firstLine="0"/>
      <w:spacing w:after="57"/>
    </w:pPr>
  </w:style>
  <w:style w:type="paragraph" w:styleId="851">
    <w:name w:val="toc 4"/>
    <w:basedOn w:val="859"/>
    <w:next w:val="859"/>
    <w:uiPriority w:val="39"/>
    <w:unhideWhenUsed/>
    <w:pPr>
      <w:ind w:left="850" w:right="0" w:firstLine="0"/>
      <w:spacing w:after="57"/>
    </w:pPr>
  </w:style>
  <w:style w:type="paragraph" w:styleId="852">
    <w:name w:val="toc 5"/>
    <w:basedOn w:val="859"/>
    <w:next w:val="859"/>
    <w:uiPriority w:val="39"/>
    <w:unhideWhenUsed/>
    <w:pPr>
      <w:ind w:left="1134" w:right="0" w:firstLine="0"/>
      <w:spacing w:after="57"/>
    </w:pPr>
  </w:style>
  <w:style w:type="paragraph" w:styleId="853">
    <w:name w:val="toc 6"/>
    <w:basedOn w:val="859"/>
    <w:next w:val="859"/>
    <w:uiPriority w:val="39"/>
    <w:unhideWhenUsed/>
    <w:pPr>
      <w:ind w:left="1417" w:right="0" w:firstLine="0"/>
      <w:spacing w:after="57"/>
    </w:pPr>
  </w:style>
  <w:style w:type="paragraph" w:styleId="854">
    <w:name w:val="toc 7"/>
    <w:basedOn w:val="859"/>
    <w:next w:val="859"/>
    <w:uiPriority w:val="39"/>
    <w:unhideWhenUsed/>
    <w:pPr>
      <w:ind w:left="1701" w:right="0" w:firstLine="0"/>
      <w:spacing w:after="57"/>
    </w:pPr>
  </w:style>
  <w:style w:type="paragraph" w:styleId="855">
    <w:name w:val="toc 8"/>
    <w:basedOn w:val="859"/>
    <w:next w:val="859"/>
    <w:uiPriority w:val="39"/>
    <w:unhideWhenUsed/>
    <w:pPr>
      <w:ind w:left="1984" w:right="0" w:firstLine="0"/>
      <w:spacing w:after="57"/>
    </w:pPr>
  </w:style>
  <w:style w:type="paragraph" w:styleId="856">
    <w:name w:val="toc 9"/>
    <w:basedOn w:val="859"/>
    <w:next w:val="859"/>
    <w:uiPriority w:val="39"/>
    <w:unhideWhenUsed/>
    <w:pPr>
      <w:ind w:left="2268" w:right="0" w:firstLine="0"/>
      <w:spacing w:after="57"/>
    </w:pPr>
  </w:style>
  <w:style w:type="paragraph" w:styleId="857">
    <w:name w:val="TOC Heading"/>
    <w:uiPriority w:val="39"/>
    <w:unhideWhenUsed/>
  </w:style>
  <w:style w:type="paragraph" w:styleId="858">
    <w:name w:val="table of figures"/>
    <w:basedOn w:val="859"/>
    <w:next w:val="859"/>
    <w:uiPriority w:val="99"/>
    <w:unhideWhenUsed/>
    <w:pPr>
      <w:spacing w:after="0" w:afterAutospacing="0"/>
    </w:pPr>
  </w:style>
  <w:style w:type="paragraph" w:styleId="859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60">
    <w:name w:val="Heading 2"/>
    <w:basedOn w:val="859"/>
    <w:link w:val="872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61" w:default="1">
    <w:name w:val="Default Paragraph Font"/>
    <w:uiPriority w:val="1"/>
    <w:semiHidden/>
    <w:unhideWhenUsed/>
  </w:style>
  <w:style w:type="table" w:styleId="86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3" w:default="1">
    <w:name w:val="No List"/>
    <w:uiPriority w:val="99"/>
    <w:semiHidden/>
    <w:unhideWhenUsed/>
  </w:style>
  <w:style w:type="table" w:styleId="864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65">
    <w:name w:val="Body Text"/>
    <w:basedOn w:val="859"/>
    <w:uiPriority w:val="1"/>
    <w:qFormat/>
    <w:rPr>
      <w:sz w:val="24"/>
      <w:szCs w:val="24"/>
    </w:rPr>
  </w:style>
  <w:style w:type="paragraph" w:styleId="866">
    <w:name w:val="Title"/>
    <w:basedOn w:val="859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7">
    <w:name w:val="List Paragraph"/>
    <w:basedOn w:val="859"/>
    <w:uiPriority w:val="1"/>
    <w:qFormat/>
    <w:pPr>
      <w:ind w:left="600" w:hanging="360"/>
    </w:pPr>
  </w:style>
  <w:style w:type="paragraph" w:styleId="868" w:customStyle="1">
    <w:name w:val="Table Paragraph"/>
    <w:basedOn w:val="859"/>
    <w:uiPriority w:val="1"/>
    <w:qFormat/>
    <w:pPr>
      <w:ind w:left="65"/>
      <w:spacing w:before="77"/>
    </w:pPr>
  </w:style>
  <w:style w:type="character" w:styleId="869">
    <w:name w:val="Strong"/>
    <w:basedOn w:val="861"/>
    <w:uiPriority w:val="22"/>
    <w:qFormat/>
    <w:rPr>
      <w:b/>
      <w:bCs/>
    </w:rPr>
  </w:style>
  <w:style w:type="table" w:styleId="870">
    <w:name w:val="Grid Table Light"/>
    <w:basedOn w:val="862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871">
    <w:name w:val="Table Grid"/>
    <w:basedOn w:val="86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2" w:customStyle="1">
    <w:name w:val="Заголовок 2 Знак"/>
    <w:basedOn w:val="861"/>
    <w:link w:val="860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paragraph" w:styleId="873">
    <w:name w:val="Normal (Web)"/>
    <w:basedOn w:val="859"/>
    <w:uiPriority w:val="99"/>
    <w:semiHidden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74">
    <w:name w:val="Hyperlink"/>
    <w:basedOn w:val="861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3222" TargetMode="External"/><Relationship Id="rId10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4355" TargetMode="External"/><Relationship Id="rId12" Type="http://schemas.openxmlformats.org/officeDocument/2006/relationships/hyperlink" Target="https://itpm-wiki.mos.ru/pages/viewpage.action?pageId=533163557" TargetMode="External"/><Relationship Id="rId13" Type="http://schemas.openxmlformats.org/officeDocument/2006/relationships/hyperlink" Target="https://itpm-wiki.mos.ru/pages/viewpage.action?pageId=533164826" TargetMode="External"/><Relationship Id="rId14" Type="http://schemas.openxmlformats.org/officeDocument/2006/relationships/hyperlink" Target="https://itpm-wiki.mos.ru/pages/viewpage.action?pageId=533161911" TargetMode="External"/><Relationship Id="rId15" Type="http://schemas.openxmlformats.org/officeDocument/2006/relationships/hyperlink" Target="https://itpm-wiki.mos.ru/pages/viewpage.action?pageId=53316476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81</cp:revision>
  <dcterms:created xsi:type="dcterms:W3CDTF">2025-12-18T13:25:00Z</dcterms:created>
  <dcterms:modified xsi:type="dcterms:W3CDTF">2026-05-21T08:23:51Z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