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0"/>
        <w:rPr>
          <w:rFonts w:eastAsia="Times New Roman"/>
        </w:rPr>
      </w:pPr>
      <w:r/>
      <w:bookmarkStart w:id="0" w:name="_GoBack"/>
      <w:r/>
      <w:bookmarkEnd w:id="0"/>
      <w:r>
        <w:rPr>
          <w:rFonts w:eastAsia="Times New Roman"/>
        </w:rPr>
        <w:t xml:space="preserve">Описание ТБП55: Зарегистрировать дело/документ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1"/>
        <w:ind w:left="0" w:right="0" w:firstLine="0"/>
        <w:rPr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Интервью 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hyperlink r:id="rId8" w:tooltip="https://itpm-wiki.mos.ru/pages/viewpage.action?pageId=553171783" w:history="1">
        <w:r>
          <w:rPr>
            <w:rStyle w:val="811"/>
            <w:rFonts w:ascii="Times New Roman" w:hAnsi="Times New Roman" w:eastAsia="Times New Roman" w:cs="Times New Roman"/>
            <w:b/>
            <w:sz w:val="24"/>
            <w:szCs w:val="24"/>
          </w:rPr>
          <w:t xml:space="preserve">https://itpm-wiki.mos.ru/pages/viewpage.action?pageId=553171783</w:t>
        </w:r>
        <w:r>
          <w:rPr>
            <w:rStyle w:val="811"/>
            <w:rFonts w:ascii="Times New Roman" w:hAnsi="Times New Roman" w:eastAsia="Times New Roman" w:cs="Times New Roman"/>
            <w:b/>
            <w:sz w:val="24"/>
            <w:szCs w:val="24"/>
          </w:rPr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hyperlink r:id="rId9" w:tooltip="https://itpm-wiki.mos.ru/pages/viewpage.action?pageId=553171817" w:history="1">
        <w:r>
          <w:rPr>
            <w:rStyle w:val="811"/>
            <w:rFonts w:ascii="Times New Roman" w:hAnsi="Times New Roman" w:eastAsia="Times New Roman" w:cs="Times New Roman"/>
            <w:b/>
            <w:sz w:val="24"/>
            <w:szCs w:val="24"/>
          </w:rPr>
          <w:t xml:space="preserve">https://itpm-wiki.mos.ru/pages/viewpage.action?pageId=553171817</w:t>
        </w:r>
        <w:r>
          <w:rPr>
            <w:rStyle w:val="811"/>
            <w:rFonts w:ascii="Times New Roman" w:hAnsi="Times New Roman" w:eastAsia="Times New Roman" w:cs="Times New Roman"/>
            <w:b/>
            <w:sz w:val="24"/>
            <w:szCs w:val="24"/>
          </w:rPr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hyperlink r:id="rId10" w:tooltip="https://itpm-wiki.mos.ru/pages/viewpage.action?pageId=482562314" w:history="1">
        <w:r>
          <w:rPr>
            <w:rStyle w:val="811"/>
            <w:rFonts w:ascii="Times New Roman" w:hAnsi="Times New Roman" w:eastAsia="Times New Roman" w:cs="Times New Roman"/>
            <w:b/>
            <w:sz w:val="24"/>
            <w:szCs w:val="24"/>
          </w:rPr>
          <w:t xml:space="preserve">https://itpm-wiki.mos.ru/pages/viewpage.action?pageId=482562314</w:t>
        </w:r>
        <w:r>
          <w:rPr>
            <w:rStyle w:val="811"/>
            <w:rFonts w:ascii="Times New Roman" w:hAnsi="Times New Roman" w:eastAsia="Times New Roman" w:cs="Times New Roman"/>
            <w:b/>
            <w:sz w:val="24"/>
            <w:szCs w:val="24"/>
          </w:rPr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hyperlink r:id="rId11" w:tooltip="https://itpm-wiki.mos.ru/pages/viewpage.action?pageId=484788057" w:history="1">
        <w:r>
          <w:rPr>
            <w:rStyle w:val="811"/>
            <w:rFonts w:ascii="Times New Roman" w:hAnsi="Times New Roman" w:eastAsia="Times New Roman" w:cs="Times New Roman"/>
            <w:b/>
            <w:sz w:val="24"/>
            <w:szCs w:val="24"/>
          </w:rPr>
          <w:t xml:space="preserve">https://itpm-wiki.mos.ru/pages/viewpage.action?pageId=484788057</w:t>
        </w:r>
        <w:r>
          <w:rPr>
            <w:rStyle w:val="811"/>
            <w:rFonts w:ascii="Times New Roman" w:hAnsi="Times New Roman" w:eastAsia="Times New Roman" w:cs="Times New Roman"/>
            <w:b/>
            <w:sz w:val="24"/>
            <w:szCs w:val="24"/>
          </w:rPr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Перечень регламентирующих НПА</w:t>
        <w:br/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685"/>
        <w:tblW w:w="0" w:type="auto"/>
        <w:tblLook w:val="04A0" w:firstRow="1" w:lastRow="0" w:firstColumn="1" w:lastColumn="0" w:noHBand="0" w:noVBand="1"/>
      </w:tblPr>
      <w:tblGrid>
        <w:gridCol w:w="12960"/>
      </w:tblGrid>
      <w:tr>
        <w:tblPrEx/>
        <w:trPr/>
        <w:tc>
          <w:tcPr>
            <w:tcW w:w="12960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Название НПА с реквизитами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/>
        <w:tc>
          <w:tcPr>
            <w:tcW w:w="12960" w:type="dxa"/>
            <w:textDirection w:val="lrTb"/>
            <w:noWrap w:val="false"/>
          </w:tcPr>
          <w:p>
            <w:pPr>
              <w:tabs>
                <w:tab w:val="left" w:pos="1124" w:leader="none"/>
              </w:tabs>
              <w:rPr>
                <w:highlight w:val="none"/>
              </w:rPr>
            </w:pPr>
            <w:r>
              <w:t xml:space="preserve"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 (далее- Инструкция по делопроизводству)</w:t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Акторы 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7482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7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Бизнес-роль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48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Выполняемые действия/функция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7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482" w:type="dxa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Регистрация дел и документов, проверка тождественности, проставление и заполнение штампов, поиск ЛУ</w:t>
            </w:r>
            <w:r>
              <w:t xml:space="preserve">ВД в базе САС, добавление новых ЛУВД в базу САС, определение типов документов, заполнение обязательных полей в Системе, работа с классификаторами.</w:t>
            </w:r>
            <w:r/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Процессуальные документы и их шаблоны (образцы)</w:t>
      </w:r>
      <w:r/>
    </w:p>
    <w:p>
      <w:pPr>
        <w:pStyle w:val="832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4.1 Документы рассмотрения (документы входящие от участников процесса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</w:r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91"/>
        <w:gridCol w:w="1570"/>
        <w:gridCol w:w="5325"/>
        <w:gridCol w:w="2470"/>
        <w:gridCol w:w="3050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7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3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47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документа*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5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Образец**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7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3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47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5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/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Бумажный документ / электронный документ / электронный документ с ЭЦП / печатная форма (из ИС).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 Файл или ссылка на облако ДИТ. </w:t>
      </w:r>
      <w:r/>
    </w:p>
    <w:p>
      <w:pPr>
        <w:pStyle w:val="832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4.2 Судебные акты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</w:r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7"/>
        <w:gridCol w:w="718"/>
        <w:gridCol w:w="5295"/>
        <w:gridCol w:w="1862"/>
        <w:gridCol w:w="973"/>
        <w:gridCol w:w="399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0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2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(протокольный/отдельный СА)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7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Обжалуется (да/нет)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Образец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0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2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7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/>
            <w:r/>
          </w:p>
        </w:tc>
      </w:tr>
    </w:tbl>
    <w:p>
      <w:pPr>
        <w:pStyle w:val="831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  Процессуальные сроки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36"/>
        <w:gridCol w:w="3402"/>
        <w:gridCol w:w="4677"/>
        <w:gridCol w:w="3260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3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Шаг процесса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 процессуального действия, для которого установлен срок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67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Срок (год, месяц, день)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Применимые нормы (по возможности)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67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Style w:val="831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Реестр справочников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3402"/>
        <w:gridCol w:w="2976"/>
        <w:gridCol w:w="3260"/>
        <w:gridCol w:w="5102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7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Структура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10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Значения справочника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1.7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Документы рассмотрения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Выбор вида документа рассмотрения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Структура справочника см. внутри документа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1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2" w:tooltip="https://cloud.dit.mos.ru/apps/ditdocuments/s/wYj6atoLqNyErfJ?fileId=289256339" w:history="1">
              <w:r>
                <w:rPr>
                  <w:rStyle w:val="811"/>
                  <w:rFonts w:ascii="Times New Roman" w:hAnsi="Times New Roman" w:eastAsia="Times New Roman" w:cs="Times New Roman"/>
                  <w:color w:val="0052cc"/>
                  <w:sz w:val="24"/>
                  <w:szCs w:val="24"/>
                  <w:highlight w:val="white"/>
                  <w:u w:val="single"/>
                </w:rPr>
                <w:t xml:space="preserve">https://cloud.dit.mos.ru/apps/ditdocuments/s/wYj6atoLqNyErfJ?fileId=289256339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86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1.28.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402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Типы документов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Выбор типа документа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102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86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1.10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402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Категории лиц, участвующих в деле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Выбор категории ЛУВД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Структура справочника см. внутри документа</w:t>
            </w:r>
            <w:r/>
          </w:p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102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3" w:tooltip="https://cloud.dit.mos.ru/apps/ditdocuments/s/wYj6atoLqNyErfJ?fileId=289256339" w:history="1">
              <w:r>
                <w:rPr>
                  <w:rStyle w:val="811"/>
                  <w:rFonts w:ascii="Times New Roman" w:hAnsi="Times New Roman" w:eastAsia="Times New Roman" w:cs="Times New Roman"/>
                  <w:color w:val="0052cc"/>
                  <w:sz w:val="24"/>
                  <w:szCs w:val="24"/>
                  <w:highlight w:val="white"/>
                  <w:u w:val="single"/>
                </w:rPr>
                <w:t xml:space="preserve">https://cloud.dit.mos.ru/apps/ditdocuments/s/wYj6atoLqNyErfJ?fileId=289256339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86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1.5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402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Виды споров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Выбор вида спора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Структура справочника см. внутри документа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102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4" w:tooltip="https://cloud.dit.mos.ru/apps/ditdocuments/s/wYj6atoLqNyErfJ?fileId=289256339" w:history="1">
              <w:r>
                <w:rPr>
                  <w:rStyle w:val="811"/>
                  <w:rFonts w:ascii="Times New Roman" w:hAnsi="Times New Roman" w:eastAsia="Times New Roman" w:cs="Times New Roman"/>
                  <w:color w:val="0052cc"/>
                  <w:sz w:val="24"/>
                  <w:szCs w:val="24"/>
                  <w:highlight w:val="white"/>
                  <w:u w:val="single"/>
                </w:rPr>
                <w:t xml:space="preserve">https://cloud.dit.mos.ru/apps/ditdocuments/s/wYj6atoLqNyErfJ?fileId=289256339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86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2.3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402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Дополнительные специализации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Специализации споров для АРПД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Структура справочника см. внутри документа</w:t>
            </w:r>
            <w:r/>
          </w:p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102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5" w:tooltip="https://cloud.dit.mos.ru/apps/ditdocuments/s/wYj6atoLqNyErfJ?fileId=289256339" w:history="1">
              <w:r>
                <w:rPr>
                  <w:rStyle w:val="811"/>
                  <w:rFonts w:ascii="Times New Roman" w:hAnsi="Times New Roman" w:eastAsia="Times New Roman" w:cs="Times New Roman"/>
                  <w:color w:val="0052cc"/>
                  <w:sz w:val="24"/>
                  <w:szCs w:val="24"/>
                  <w:highlight w:val="white"/>
                  <w:u w:val="single"/>
                </w:rPr>
                <w:t xml:space="preserve">https://cloud.dit.mos.ru/apps/ditdocuments/s/wYj6atoLqNyErfJ?fileId=289256339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831"/>
        <w:ind w:left="0" w:right="0" w:firstLine="0"/>
        <w:rPr>
          <w:rFonts w:ascii="Times New Roman" w:hAnsi="Times New Roman" w:eastAsia="Times New Roman" w:cs="Times New Roman"/>
          <w:sz w:val="36"/>
          <w:szCs w:val="3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Межведомственное взаимодействие 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62"/>
        <w:gridCol w:w="3080"/>
        <w:gridCol w:w="1386"/>
        <w:gridCol w:w="3226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Ведомство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взаимодействия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Суть взаимодействия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</w:t>
            </w:r>
            <w:r/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AS IS</w:t>
      </w:r>
      <w:r/>
    </w:p>
    <w:p>
      <w:pP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8.1  Схема процесса </w:t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</w:rPr>
      </w:r>
    </w:p>
    <w:p>
      <w:pPr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color w:val="000000"/>
          <w:sz w:val="27"/>
        </w:rPr>
      </w:r>
      <w:r>
        <w:t xml:space="preserve">TBP55_zaregistriro</w:t>
      </w:r>
      <w:r>
        <w:t xml:space="preserve">vat_delo_dokument_bpmn_asis.bpmn</w:t>
      </w:r>
      <w:r>
        <w:rPr>
          <w:rFonts w:ascii="Times New Roman" w:hAnsi="Times New Roman" w:eastAsia="Times New Roman" w:cs="Times New Roman"/>
          <w:sz w:val="27"/>
          <w:szCs w:val="27"/>
        </w:rPr>
      </w:r>
      <w:r>
        <w:rPr>
          <w:rFonts w:ascii="Times New Roman" w:hAnsi="Times New Roman" w:eastAsia="Times New Roman" w:cs="Times New Roman"/>
          <w:sz w:val="27"/>
          <w:szCs w:val="27"/>
        </w:rPr>
      </w:r>
    </w:p>
    <w:p>
      <w:pPr>
        <w:pStyle w:val="832"/>
        <w:ind w:left="0" w:right="0" w:firstLine="0"/>
        <w:spacing w:line="240" w:lineRule="auto"/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8.2 Описание схемы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</w:r>
    </w:p>
    <w:p>
      <w:pPr>
        <w:pStyle w:val="832"/>
        <w:ind w:left="0" w:right="0" w:firstLine="0"/>
        <w:spacing w:before="150" w:after="0" w:line="24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172b4d"/>
          <w:spacing w:val="-1"/>
          <w:sz w:val="24"/>
        </w:rPr>
        <w:t xml:space="preserve">Термины и сокращения: </w:t>
      </w:r>
      <w:hyperlink r:id="rId16" w:tooltip="https://itpm-wiki.mos.ru/pages/viewpage.action?pageId=533161398" w:history="1">
        <w:r>
          <w:rPr>
            <w:rStyle w:val="811"/>
            <w:rFonts w:ascii="Times New Roman" w:hAnsi="Times New Roman" w:eastAsia="Times New Roman" w:cs="Times New Roman"/>
            <w:b/>
            <w:color w:val="0052cc"/>
            <w:spacing w:val="-1"/>
            <w:sz w:val="24"/>
          </w:rPr>
          <w:t xml:space="preserve">https://itpm-wiki.mos.ru/pages/viewpage.action?pageId=533161398</w:t>
        </w:r>
      </w:hyperlink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313"/>
        <w:gridCol w:w="2338"/>
        <w:gridCol w:w="2772"/>
        <w:gridCol w:w="2895"/>
        <w:gridCol w:w="3281"/>
        <w:gridCol w:w="8045"/>
      </w:tblGrid>
      <w:tr>
        <w:tblPrEx/>
        <w:trPr>
          <w:trHeight w:val="141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Номер действия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Роль (актор на конкретном шаге, в т.ч. Система)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Входящие материалы (объект / данные, инициирующие шаг)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Исходящие материалы (объект, являющийся результатом действия)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Наименование шага процесса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Описание шага процесса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Требует регистрации документ/дело поданное в суд в бумажном формате/в электронной форме (но не через ЕСО) (Стартовое событие)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 прошел все проверки и не отклонен канцелярий суда в связи с несоответствием /в суд поступило 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ело из другого суда – происходит  старт процесса регистрации входящего документа/дела. Все документы, которые не были отклонены в связи с несоответствиям требованиям подачи (происходит в ТБП53), а так же все поступившие впервые дела из других судов любой 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нстанции подлежат регистрации.  Дело не регистрируется если возвращено после рассмотрения судом кассационной или апелляционной инстанции и не направлено на новое рассмотрение. Такие дела при поступлении просто передаются судье, выносившему решение по делу.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Проставить регистрационный штамп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 полученном документе сотрудник канцелярии проставляет регистрационный штамп арбитражного суда (приложение N 5 к Инструкции по делопроизводству) в правом нижнем углу свободного от текста поля лицевой стороны первого листа, а при отсутствии свободного пол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я - на другом свободном от текста месте лицевой стороны первого листа документа и указывают дату и время его поступления с точностью до минут. Регистрационный штамп проставляется на основном документе. Для идентификации документов, поступивших в электронно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 виде, на лицевой части распечатки каждого документа ставится отметка суда "поступило в электронном виде".  (На этом шаге штамп только проставляется,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он будет заполнен после регистрации, эти действия разнятся по времени, так как обычно этим занимаются разные сотрудники канцелярии, а не один). 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вид документа, подлежащего регистрации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 вида поступившего документа зависит процесс регистрации. Виды всех входящих документов, для целей регистрации, можно разделить на две группы: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1.Первичные документы, возбуждающие производство или сформированное дело.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Сотрудник канцелярии регистрирует такой документ по ветке процесса,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 начиная с шага 4 процесса.</w:t>
              <w:br/>
              <w:t xml:space="preserve">2. Вторичный документ по уже существующему делу или иной документ по уже существующему делу или обособленный спор. Сотрудник канцелярии регистрирует такой документ по ветке процесса, начиная с шага 42 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Какой документ подлежит регистрации?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Какой документ подлежит регистрации?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«ПД/дело», то переход к шагу 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«Документ по делу/иной вторичный документ», то переход к  шагу 42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Определить,  откуда поступило дело/документ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определяет процесс регистрации в зависимости от инстанции. Если дело проступило из нижестоящей инстанции, или поступило АЖ/КЖ в суд вышестоящей инстанции- следовательно процесс происходит в суде апелляционной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или кассационной инстанции. Регистрация продолжается с шага 6 процесса. Если поступил ПД или дело, но без АЖ/КЖ или с уже рассмотренной АЖ/КЖ вышестоящим судом - следователь речь идет о суде первой инстанции и регистрация продолжается с шага 18  процесса.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Дело/документ поступил из суда нижестоящей инстанции?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Дело/документ поступил из суда нижестоящей инстанции?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"Да" – переход к шагу 6,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"Нет" – переход к шагу 18.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Ввести номер дела, по которому регистрируется АЖ/КЖ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открывает раздел регистрации в САС (ПК САД используется в кассации, АИС используется в апелляции).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вводит 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карточку регистрируемой жалобы 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САС номер дела суда нижестоящей инстанции, по которому регистрируется апелляционная или кассационная жалоба.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Заполнить поля для регистрации АЖ/КЖ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заполняет обязательные поля для регистрации апелляционной или кассационной жалобы в САС. 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Электронная карточка дела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Сформировать карточку дела (Сервисная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автоматически формирует электронную карточку дела на основе введенных данных с сохранением таких данных.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Присвоить номер дела (Сервисная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автоматически присваивает уникальный номер делу в соответствии с установленными правилами нумерации. Правила нумерации указаны в п.26.2 и п.28.2 Инструкции по делопроизводству.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вид регистрации (Сервисная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анализирует канал поступления дела c жалобой/АЖ/КЖ, если дело/АЖ/КЖ  поступило через электронную приемную, то регистрация будет про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исходить автоматически, данные будут взяты из электронной карточки дела суда первой инстанции.Процесс продолжается с шага 12. Если дело поступило другим способом, то данные о деле первой инстанции необходимо внести вручную – процесс продолжается с шага 14.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Регистрируется через электронную приемную (автоматическая регистрация)?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Регистрируется через электронную приемную (автоматическая регистрация)?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"Да", то переход к шагу 12,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"Нет", то переход к шагу 14.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из нижестоящей инстанции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Загруженная информация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Загрузить информацию из карточки дела нижестоящей инстанции (Сервисная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суда автоматически загружает необходимую информацию (в частности, информацию об обжалуемом СА) из карточки дела нижестоящей инстанции.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Зарегистрированное дело с жалобой/АЖ/КЖ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Подтвердить регистрацию (Пользовательская задача)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рудник канцелярии проверяет корректность заполненных данных о поступившем деле с АЖ/КЖ. Если данные перенесены не полно, сотрудник канцелярии вносит недостающие данные в электронную карточку дела. После этого сотрудник  канцелярии подтверждает регистрацию.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Дело с АЖ/КЖ зарегистрирована в системе суда вышестоящей инстанции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Зарегистрированное дело с жалобой/АЖ/КЖ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Внести данные об обжалуемом СА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вносит данные об обжалуемом судебном акте в ручную. После внесения данных сотрудник канцелярии нажимает кнопку «Зарегистрировать». Дело/АЖ/КЖ зарегистрирована в системе суда вышестоящей инстанции.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Объединение потоков шага 13 и шага 14 процесса.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Заполнить  штамп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заполняет штамп на документе с указанием номера дела, даты и времени поступления, ФИО сотрудника, зарегистрировавшего дело на бумажном варианте дела или на бумажном варианте АЖ/КЖ, если в суд поступили только жалобы.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Зарегистрировано дело/документ в кассационной/апелляционной инстанции (Конечное событие)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Завершение процесса регистрации.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формат документа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канцелярии, кото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рый производит регистрацию ПД уточняет, в каком формате подан документ. Если ПД подан в бумажном варианте или поступило дело, то процесс регистрации продолжается с шага 24. Если ПД поступил в электронном виде, то процесс регистрации продолжается с шага 20.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 поступил в электронном виде?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 поступил в электронном виде? 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Если "Да" – переход к шагу 20,</w:t>
              <w:br/>
              <w:t xml:space="preserve"> Если "Нет" – переход к шагу 23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необходимость печати документов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определяет какие документы, из поданных в электронном виде, необходимо дополнительно перевести в бумажную форму.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Правила перевода электронных документов в бумажный формат указаны в п.3.3.3. Инструкции по делопроизводству.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Если такие документы присутствуют, то процесс продолжается с шага 15.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Если документов, которе необходимо распечатать нет, то процесс продолжается с шага 24.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Необходимо распечатать  документы?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Необходимо распечатать  документы?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«Да» - переход к шагу 22,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«Нет» - переход к шагу 23.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 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Распечатать необходимые документы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обязательно распечатывает: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Исковое заявление /заявление/ апелляционную жалобу/ кассационную жалобу/заявление о пересмотре судебного акта по новым или вновь открывшимся обстоятельствам/ заявление о присуждении компенсации за нарушение права на судопроизводство в разумный срок или пра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 на исполнение судебного акта в разумный срок.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Опись документов, поступивших в электронном виде (формируется автоматически сервисом электронной подачи документов).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Объединение потоков шага 19 по ветке «Нет», шага 21 по ветке «Нет», шага 22 в один.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hyperlink r:id="rId17" w:tooltip="https://itpm-wiki.mos.ru/pages/viewpage.action?pageId=487496895" w:history="1">
              <w:r>
                <w:rPr>
                  <w:rStyle w:val="811"/>
                  <w:rFonts w:ascii="Times New Roman" w:hAnsi="Times New Roman" w:eastAsia="Times New Roman" w:cs="Times New Roman"/>
                  <w:color w:val="0563c1"/>
                  <w:sz w:val="24"/>
                  <w:u w:val="none"/>
                </w:rPr>
                <w:t xml:space="preserve">ТБП45.Проверить тождественность (Вызов подпроцесса)</w:t>
              </w:r>
            </w:hyperlink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проверяет по поступившему ПД/делу нет ли идентичного (то есть совершенно одинакового, дублированного) ПД/дела, уже зарегистрированного судом ранее. Происходит вызов ТБП45 «Проверить тождественность».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в результате проведенной проверки выявлено идентичное ПД/Дело, то процесс регистрации продолжается с шага  39.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Если идентичных ПД/дел не найдено, то регистрация продолжается с шага 26 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итогам проверки тождественности установлена идентичность?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итогам проверки тождественности установлена идентичность?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"Да" – переход к шагу 39,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"Нет" – переход к шагу 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документ/дело</w:t>
            </w:r>
            <w:r/>
          </w:p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тип документа по классификатору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выбирает необходимое справочное значение, отвечающее типу документа, в соответствии с классификатором. Используется справочник 1.28 </w:t>
            </w:r>
            <w:r>
              <w:t xml:space="preserve">Типы документов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  1.7 Документы.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Заполненные поля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Заполнить обязательные поля для регистрации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заполняет обязательные поля для регистрации нового дела в САС.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Найти ЛУВД в базе САС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выбирает категорию ЛУВД (используется значение справочника 1.10. </w:t>
            </w:r>
            <w:r>
              <w:t xml:space="preserve">Категории лиц, участвующих в деле). Затем сотрудник канцелярии вводит наименование организации или ФИО участника, что бы проверить,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есть ли в системе сведения об этом ЛУВД . Если ЛУВД уже добавлено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в систему, то в соответствующих графах сотрудник канцелярии выбирает уже имеющееся ЛУВД и значения, относящиеся к данному ЛУВД встают в соответствующие графы (наименование, адрес, дата регистрации и т.д.). Далее процесс регистрации продолжается с шага 32.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Если сотрудник канцелярии видит, что такого ЛУВД в базе нет, то происходит переход к шагу 30 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ЛУВД найдено?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ЛУВД найдено?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"Да" – переход к шагу 31,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"Нет" – переход к шагу 30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Зарегистрированные данные ЛУВД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Зарегистрировать новое ЛУВД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вносит все необходимы сведения о ЛУВД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(наименование, адрес, дата регистрации и т.д.)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в карточку ЛУВД в системе и  регистрирует новое ЛУВД в системе. Данные о ЛУВД заполнены.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Объединение потоков шага 29 по ветке «Да» и шага 30 в один.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вид спора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изучает поступивший входящий документ и определяет к какому виду спора относится требование. Это необходимо для дальнейшего занесения информации в систему. 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Указать вид спора и специализацию дела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указывает вид спора (выбирает значение справочника 1.5 </w:t>
            </w:r>
            <w:r>
              <w:t xml:space="preserve">Виды споров), затем указывает значение в графе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специализация дела  (выбирает значение справочника 2.3. Дополнительные специализации).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Электронная регистрационная карточка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Сформировать карточку дела (Сервисная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автоматически формирует электронную регистрационную карточку дела.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Зарегистрированное дело</w:t>
            </w:r>
            <w:r/>
          </w:p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Зарегистрировать дело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нажимает кнопку «Зарегистрировать» и дело регистрируется в системе.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Зарегистрированное дело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Дело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Присвоить номер дела (Сервисная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автоматически присваивает номер делу в соответствии с правилами формирования дел в апелляционном суде первой инстанции. Правила присвоения номера указаны в п. 21.7 Инструкции по делопроизводству.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Заполнить  штамп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заполняет штамп в материалах дела с указанием номера дела, даты и времени поступления, ФИО сотрудника, регистрировавшего документ.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Дело зарегистрировано в суде первой инстанции (Конечное событие)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Завершения процесса регистрации. Дело зарегистрировано. (ПД в процессе регистрации становится делом).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Отменить регистрацию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отменяет регистрацию документа в связи с наличием идентичного зарегистрированного ПД ранее.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Зарегистрировать в существующее дело как дополнения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заносит необходимую информацию в карточке существующего дела и регистрирует документ в этом деле  в качестве дополнения, выбирая соответствующие значения справочников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1.28 </w:t>
            </w:r>
            <w:r>
              <w:t xml:space="preserve">Типы документов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  1.7 Документы.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формат документа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определяет в каком формате был подан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 по уже существующему делу/иной вторичный документ по делу/ОС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- в формате электронного документа или в форме документа на бумажном носителе.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Если документ был подан в электронном формате-процесс регистрации продолжается с шага 43.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Если документ был подан на бумажном носителе, то процесс регистрации продолжается с шага 48.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</w:tr>
      <w:tr>
        <w:tblPrEx/>
        <w:trPr>
          <w:trHeight w:val="868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 поступил в электронном виде?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 поступил в электронном виде?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«Да» - переход к шагу 43,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«Нет» - переход к шагу 47.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необходимость печати документов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определяет какие документы, из поданных в электронном виде, необходимо дополнительно перевести в бумажную форму.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Правила перевода электронных документов в бумажный формат указаны в п.3.3.3. Инструкции по делопроизводству.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Если такие документы присутствуют, то процесс продолжается с шага 45.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Если документов, которе необходимо распечатать нет, то процесс продолжается с шага 48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Необходимо распечатать документы?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Необходимо распечатать документы?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«Да» - переход к шагу 45,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«Нет» - переход к шагу 46.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Распечатать необходимые документы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обязательно распечатывает: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jc w:val="both"/>
              <w:spacing w:before="0" w:after="0" w:line="288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Заявления/ходатайства, иной основной документ (под основными документами понимаем документы, в которых излагается требование лица,их подавшего).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2.Опись документов, поступивших в электронном виде (если есть приложения к основному документу)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Объединения потоков шага 44 по ветке «Нет» и шага 45 процесса в один поток.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этой точке процесса объединяются альтернативные ветви, после чего выполнение продолжается по единому следующему шагу.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Ввести номер дела, по которому регистрируется документ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вводит в ИС номер дела, по которому поступил и регистрируется документ, для дальнейшей привязки его с делом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</w:t>
            </w:r>
            <w:r/>
            <w:r/>
          </w:p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Определить тип документа по классификатору (Пользовательская задача)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color w:val="000000" w:themeColor="text1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Сотрудник канцелярии  выбирает соответствующие значения справочников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1.28 </w:t>
            </w:r>
            <w:r>
              <w:rPr>
                <w:color w:val="000000" w:themeColor="text1"/>
                <w:highlight w:val="white"/>
              </w:rPr>
              <w:t xml:space="preserve">Типы документов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и  1.7 Документы.</w:t>
            </w:r>
            <w:r>
              <w:rPr>
                <w:color w:val="000000" w:themeColor="text1"/>
                <w:highlight w:val="white"/>
              </w:rPr>
            </w:r>
            <w:r>
              <w:rPr>
                <w:color w:val="000000" w:themeColor="text1"/>
                <w:highlight w:val="white"/>
              </w:rPr>
            </w:r>
          </w:p>
          <w:p>
            <w:pPr>
              <w:ind w:left="0" w:right="0" w:firstLine="0"/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Заполнить обязательные поля для регистрации (Пользовательская задача)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Сотрудник канцелярии заполняет обязательные поля для регистрации нового документа в системе САС.</w:t>
            </w:r>
            <w:r>
              <w:rPr>
                <w:color w:val="000000" w:themeColor="text1"/>
              </w:rPr>
            </w:r>
          </w:p>
        </w:tc>
      </w:tr>
      <w:tr>
        <w:tblPrEx/>
        <w:trPr>
          <w:trHeight w:val="0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Найти ЛУВД в базе САС (Пользовательская задача)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выбирает категорию ЛУВД (используется значение справочника 1.10. </w:t>
            </w:r>
            <w:r>
              <w:t xml:space="preserve">Категории лиц, участвующих в деле). Затем сотрудник канцелярии вводит наименование организации или ФИО участника, что бы проверить,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есть ли в системе сведения об этом ЛУВД . Если ЛУВД уже добавлено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в систему, то в соответствующих графах сотрудник канцелярии выбирает уже имеющееся ЛУВД и значения, относящиеся к данному ЛУВД встают в соответствующие графы (наименование, адрес, дата регистрации и т.д.). Далее процесс регистрации продолжается с шага 55.</w:t>
            </w:r>
            <w:r/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Если сотрудник канцелярии видит, что такого ЛУВД в базе нет, то происходит переход к шагу 30 процесса.</w:t>
            </w:r>
            <w:r/>
            <w:r/>
          </w:p>
          <w:p>
            <w:pPr>
              <w:ind w:left="0" w:right="0" w:firstLine="0"/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ЛУВД найдено? (Развилка «ИЛИ/ИЛИ»)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ЛУВД найдено?</w:t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</w:r>
            <w:r>
              <w:rPr>
                <w:color w:val="000000" w:themeColor="text1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Если "Да" – переход к шагу 54, </w:t>
            </w:r>
            <w:r>
              <w:rPr>
                <w:color w:val="000000" w:themeColor="text1"/>
              </w:rPr>
            </w:r>
          </w:p>
          <w:p>
            <w:pPr>
              <w:ind w:left="0" w:right="0" w:firstLine="0"/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Если "Нет" – переход к шагу 53.</w:t>
            </w:r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Зарегистрированные данные ЛУВД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Зарегистрировать новое ЛУВД (Пользовательская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вносит все необходимы сведения о ЛУВД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(наименование, адрес, дата регистрации и т.д.)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в карточку ЛУВД в системе и  регистрирует новое ЛУВД в системе. Данные о ЛУВД заполнены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Объединение потоков шага 52 по ветке «Нет» и шага 53 процесса.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Подтвердить регистрацию документа (Пользовательская задача)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нажатием кнопки подтверждает в САС регистрацию нового входящего документа/обособленного спора.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</w:t>
            </w:r>
            <w:r/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Электронная карточка документа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Создать карточку документа (Сервисная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автоматически создает карточку документа со всеми внесенными сотрудником канцелярии  данными.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Связать с существующим делом (Сервисная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автоматически проставляет связи между карточкой документа и карточкой существующего дела к которому данный документ относится.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Входящий документ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Определить, является ли требование обособленным спором (Сервисная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анализирует  поступивший документа на предмет-указано ли сотрудником канцелярии при заполнении электронной карточки документа,что  заявленное требование является обособленным спором по делу о несостоятельности (банкротстве).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Если заявленное требование-обособленный спор, то регистрация продолжается с шага  60.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Если заявленное требование не является обособленным спором, то регистрация продолжается с шага 62.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Заявленное требование является обособленным спором?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Заявленное требование является обособленным спором?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"Да" – переход к шагу 60,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"Нет" – переход к шагу 61.</w:t>
            </w:r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Присвоить номер обособленного спора (Сервисная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автоматически присваивает номер обособленному спору. Обособленный спор регистрируется как вторичный документ по делу, а не как отдельное дело, связывается с карточкой основного спора о несостоятельности (банкротстве), но имеет свой отдельный номер обособленного спора.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Объединение потоков шага 59 по ветке «Нет» и шага 60 в один.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Штамп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Заполнить  штамп (Ручная задача)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заполняет штамп в материалах дела указывая номера дела, дату и временя поступления, ФИО сотрудника, зарегистрировавшего документ.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3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7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8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Документ/ОС зарегистрирован в суде первой инстанции (Конечное событие)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Завершение процесса регистрации Документа/Обособленного спора. Документ/ОС зарегистрирован.</w:t>
            </w:r>
            <w:r/>
          </w:p>
        </w:tc>
      </w:tr>
    </w:tbl>
    <w:p>
      <w:pPr>
        <w:pStyle w:val="831"/>
        <w:rPr>
          <w:rFonts w:eastAsia="Times New Roman"/>
        </w:rPr>
      </w:pPr>
      <w:r>
        <w:rPr>
          <w:rFonts w:eastAsia="Times New Roman"/>
          <w:highlight w:val="none"/>
        </w:rPr>
      </w:r>
      <w:r>
        <w:rPr>
          <w:rFonts w:eastAsia="Times New Roman"/>
        </w:rPr>
      </w:r>
      <w:r>
        <w:rPr>
          <w:rFonts w:eastAsia="Times New Roman"/>
        </w:rPr>
      </w:r>
    </w:p>
    <w:sectPr>
      <w:footnotePr/>
      <w:endnotePr/>
      <w:type w:val="nextPage"/>
      <w:pgSz w:w="23811" w:h="16838" w:orient="landscape"/>
      <w:pgMar w:top="1440" w:right="1440" w:bottom="1440" w:left="1440" w:header="720" w:footer="72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833"/>
    <w:link w:val="830"/>
    <w:uiPriority w:val="9"/>
    <w:rPr>
      <w:rFonts w:ascii="Arial" w:hAnsi="Arial" w:eastAsia="Arial" w:cs="Arial"/>
      <w:sz w:val="40"/>
      <w:szCs w:val="40"/>
    </w:rPr>
  </w:style>
  <w:style w:type="character" w:styleId="655">
    <w:name w:val="Heading 2 Char"/>
    <w:basedOn w:val="833"/>
    <w:link w:val="831"/>
    <w:uiPriority w:val="9"/>
    <w:rPr>
      <w:rFonts w:ascii="Arial" w:hAnsi="Arial" w:eastAsia="Arial" w:cs="Arial"/>
      <w:sz w:val="34"/>
    </w:rPr>
  </w:style>
  <w:style w:type="character" w:styleId="656">
    <w:name w:val="Heading 3 Char"/>
    <w:basedOn w:val="833"/>
    <w:link w:val="832"/>
    <w:uiPriority w:val="9"/>
    <w:rPr>
      <w:rFonts w:ascii="Arial" w:hAnsi="Arial" w:eastAsia="Arial" w:cs="Arial"/>
      <w:sz w:val="30"/>
      <w:szCs w:val="30"/>
    </w:rPr>
  </w:style>
  <w:style w:type="paragraph" w:styleId="657">
    <w:name w:val="Heading 4"/>
    <w:basedOn w:val="829"/>
    <w:next w:val="829"/>
    <w:link w:val="65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8">
    <w:name w:val="Heading 4 Char"/>
    <w:basedOn w:val="833"/>
    <w:link w:val="657"/>
    <w:uiPriority w:val="9"/>
    <w:rPr>
      <w:rFonts w:ascii="Arial" w:hAnsi="Arial" w:eastAsia="Arial" w:cs="Arial"/>
      <w:b/>
      <w:bCs/>
      <w:sz w:val="26"/>
      <w:szCs w:val="26"/>
    </w:rPr>
  </w:style>
  <w:style w:type="paragraph" w:styleId="659">
    <w:name w:val="Heading 5"/>
    <w:basedOn w:val="829"/>
    <w:next w:val="829"/>
    <w:link w:val="66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0">
    <w:name w:val="Heading 5 Char"/>
    <w:basedOn w:val="833"/>
    <w:link w:val="659"/>
    <w:uiPriority w:val="9"/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829"/>
    <w:next w:val="829"/>
    <w:link w:val="66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2">
    <w:name w:val="Heading 6 Char"/>
    <w:basedOn w:val="833"/>
    <w:link w:val="661"/>
    <w:uiPriority w:val="9"/>
    <w:rPr>
      <w:rFonts w:ascii="Arial" w:hAnsi="Arial" w:eastAsia="Arial" w:cs="Arial"/>
      <w:b/>
      <w:bCs/>
      <w:sz w:val="22"/>
      <w:szCs w:val="22"/>
    </w:rPr>
  </w:style>
  <w:style w:type="paragraph" w:styleId="663">
    <w:name w:val="Heading 7"/>
    <w:basedOn w:val="829"/>
    <w:next w:val="829"/>
    <w:link w:val="66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4">
    <w:name w:val="Heading 7 Char"/>
    <w:basedOn w:val="833"/>
    <w:link w:val="66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5">
    <w:name w:val="Heading 8"/>
    <w:basedOn w:val="829"/>
    <w:next w:val="829"/>
    <w:link w:val="66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6">
    <w:name w:val="Heading 8 Char"/>
    <w:basedOn w:val="833"/>
    <w:link w:val="665"/>
    <w:uiPriority w:val="9"/>
    <w:rPr>
      <w:rFonts w:ascii="Arial" w:hAnsi="Arial" w:eastAsia="Arial" w:cs="Arial"/>
      <w:i/>
      <w:iCs/>
      <w:sz w:val="22"/>
      <w:szCs w:val="22"/>
    </w:rPr>
  </w:style>
  <w:style w:type="paragraph" w:styleId="667">
    <w:name w:val="Heading 9"/>
    <w:basedOn w:val="829"/>
    <w:next w:val="829"/>
    <w:link w:val="66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8">
    <w:name w:val="Heading 9 Char"/>
    <w:basedOn w:val="833"/>
    <w:link w:val="667"/>
    <w:uiPriority w:val="9"/>
    <w:rPr>
      <w:rFonts w:ascii="Arial" w:hAnsi="Arial" w:eastAsia="Arial" w:cs="Arial"/>
      <w:i/>
      <w:iCs/>
      <w:sz w:val="21"/>
      <w:szCs w:val="21"/>
    </w:rPr>
  </w:style>
  <w:style w:type="paragraph" w:styleId="669">
    <w:name w:val="List Paragraph"/>
    <w:basedOn w:val="829"/>
    <w:uiPriority w:val="34"/>
    <w:qFormat/>
    <w:pPr>
      <w:contextualSpacing/>
      <w:ind w:left="720"/>
    </w:pPr>
  </w:style>
  <w:style w:type="paragraph" w:styleId="670">
    <w:name w:val="No Spacing"/>
    <w:uiPriority w:val="1"/>
    <w:qFormat/>
    <w:pPr>
      <w:spacing w:before="0" w:after="0" w:line="240" w:lineRule="auto"/>
    </w:pPr>
  </w:style>
  <w:style w:type="paragraph" w:styleId="671">
    <w:name w:val="Title"/>
    <w:basedOn w:val="829"/>
    <w:next w:val="829"/>
    <w:link w:val="6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2">
    <w:name w:val="Title Char"/>
    <w:basedOn w:val="833"/>
    <w:link w:val="671"/>
    <w:uiPriority w:val="10"/>
    <w:rPr>
      <w:sz w:val="48"/>
      <w:szCs w:val="48"/>
    </w:rPr>
  </w:style>
  <w:style w:type="paragraph" w:styleId="673">
    <w:name w:val="Subtitle"/>
    <w:basedOn w:val="829"/>
    <w:next w:val="829"/>
    <w:link w:val="674"/>
    <w:uiPriority w:val="11"/>
    <w:qFormat/>
    <w:pPr>
      <w:spacing w:before="200" w:after="200"/>
    </w:pPr>
    <w:rPr>
      <w:sz w:val="24"/>
      <w:szCs w:val="24"/>
    </w:rPr>
  </w:style>
  <w:style w:type="character" w:styleId="674">
    <w:name w:val="Subtitle Char"/>
    <w:basedOn w:val="833"/>
    <w:link w:val="673"/>
    <w:uiPriority w:val="11"/>
    <w:rPr>
      <w:sz w:val="24"/>
      <w:szCs w:val="24"/>
    </w:rPr>
  </w:style>
  <w:style w:type="paragraph" w:styleId="675">
    <w:name w:val="Quote"/>
    <w:basedOn w:val="829"/>
    <w:next w:val="829"/>
    <w:link w:val="676"/>
    <w:uiPriority w:val="29"/>
    <w:qFormat/>
    <w:pPr>
      <w:ind w:left="720" w:right="720"/>
    </w:pPr>
    <w:rPr>
      <w:i/>
    </w:rPr>
  </w:style>
  <w:style w:type="character" w:styleId="676">
    <w:name w:val="Quote Char"/>
    <w:link w:val="675"/>
    <w:uiPriority w:val="29"/>
    <w:rPr>
      <w:i/>
    </w:rPr>
  </w:style>
  <w:style w:type="paragraph" w:styleId="677">
    <w:name w:val="Intense Quote"/>
    <w:basedOn w:val="829"/>
    <w:next w:val="829"/>
    <w:link w:val="6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8">
    <w:name w:val="Intense Quote Char"/>
    <w:link w:val="677"/>
    <w:uiPriority w:val="30"/>
    <w:rPr>
      <w:i/>
    </w:rPr>
  </w:style>
  <w:style w:type="paragraph" w:styleId="679">
    <w:name w:val="Header"/>
    <w:basedOn w:val="829"/>
    <w:link w:val="6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0">
    <w:name w:val="Header Char"/>
    <w:basedOn w:val="833"/>
    <w:link w:val="679"/>
    <w:uiPriority w:val="99"/>
  </w:style>
  <w:style w:type="paragraph" w:styleId="681">
    <w:name w:val="Footer"/>
    <w:basedOn w:val="829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Footer Char"/>
    <w:basedOn w:val="833"/>
    <w:link w:val="681"/>
    <w:uiPriority w:val="99"/>
  </w:style>
  <w:style w:type="paragraph" w:styleId="683">
    <w:name w:val="Caption"/>
    <w:basedOn w:val="829"/>
    <w:next w:val="82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4">
    <w:name w:val="Caption Char"/>
    <w:basedOn w:val="683"/>
    <w:link w:val="681"/>
    <w:uiPriority w:val="99"/>
  </w:style>
  <w:style w:type="table" w:styleId="685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6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8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0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2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4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5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6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7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8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9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0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7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8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9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0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1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2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3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9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0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1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2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3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4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5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8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9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0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1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2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3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4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5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6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7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8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89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0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2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3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4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5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6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7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9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3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5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6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7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8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9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0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1">
    <w:name w:val="Hyperlink"/>
    <w:uiPriority w:val="99"/>
    <w:unhideWhenUsed/>
    <w:rPr>
      <w:color w:val="0000ff" w:themeColor="hyperlink"/>
      <w:u w:val="single"/>
    </w:rPr>
  </w:style>
  <w:style w:type="paragraph" w:styleId="812">
    <w:name w:val="footnote text"/>
    <w:basedOn w:val="829"/>
    <w:link w:val="813"/>
    <w:uiPriority w:val="99"/>
    <w:semiHidden/>
    <w:unhideWhenUsed/>
    <w:pPr>
      <w:spacing w:after="40" w:line="240" w:lineRule="auto"/>
    </w:pPr>
    <w:rPr>
      <w:sz w:val="18"/>
    </w:rPr>
  </w:style>
  <w:style w:type="character" w:styleId="813">
    <w:name w:val="Footnote Text Char"/>
    <w:link w:val="812"/>
    <w:uiPriority w:val="99"/>
    <w:rPr>
      <w:sz w:val="18"/>
    </w:rPr>
  </w:style>
  <w:style w:type="character" w:styleId="814">
    <w:name w:val="footnote reference"/>
    <w:basedOn w:val="833"/>
    <w:uiPriority w:val="99"/>
    <w:unhideWhenUsed/>
    <w:rPr>
      <w:vertAlign w:val="superscript"/>
    </w:rPr>
  </w:style>
  <w:style w:type="paragraph" w:styleId="815">
    <w:name w:val="endnote text"/>
    <w:basedOn w:val="829"/>
    <w:link w:val="816"/>
    <w:uiPriority w:val="99"/>
    <w:semiHidden/>
    <w:unhideWhenUsed/>
    <w:pPr>
      <w:spacing w:after="0" w:line="240" w:lineRule="auto"/>
    </w:pPr>
    <w:rPr>
      <w:sz w:val="20"/>
    </w:rPr>
  </w:style>
  <w:style w:type="character" w:styleId="816">
    <w:name w:val="Endnote Text Char"/>
    <w:link w:val="815"/>
    <w:uiPriority w:val="99"/>
    <w:rPr>
      <w:sz w:val="20"/>
    </w:rPr>
  </w:style>
  <w:style w:type="character" w:styleId="817">
    <w:name w:val="endnote reference"/>
    <w:basedOn w:val="833"/>
    <w:uiPriority w:val="99"/>
    <w:semiHidden/>
    <w:unhideWhenUsed/>
    <w:rPr>
      <w:vertAlign w:val="superscript"/>
    </w:rPr>
  </w:style>
  <w:style w:type="paragraph" w:styleId="818">
    <w:name w:val="toc 1"/>
    <w:basedOn w:val="829"/>
    <w:next w:val="829"/>
    <w:uiPriority w:val="39"/>
    <w:unhideWhenUsed/>
    <w:pPr>
      <w:ind w:left="0" w:right="0" w:firstLine="0"/>
      <w:spacing w:after="57"/>
    </w:pPr>
  </w:style>
  <w:style w:type="paragraph" w:styleId="819">
    <w:name w:val="toc 2"/>
    <w:basedOn w:val="829"/>
    <w:next w:val="829"/>
    <w:uiPriority w:val="39"/>
    <w:unhideWhenUsed/>
    <w:pPr>
      <w:ind w:left="283" w:right="0" w:firstLine="0"/>
      <w:spacing w:after="57"/>
    </w:pPr>
  </w:style>
  <w:style w:type="paragraph" w:styleId="820">
    <w:name w:val="toc 3"/>
    <w:basedOn w:val="829"/>
    <w:next w:val="829"/>
    <w:uiPriority w:val="39"/>
    <w:unhideWhenUsed/>
    <w:pPr>
      <w:ind w:left="567" w:right="0" w:firstLine="0"/>
      <w:spacing w:after="57"/>
    </w:pPr>
  </w:style>
  <w:style w:type="paragraph" w:styleId="821">
    <w:name w:val="toc 4"/>
    <w:basedOn w:val="829"/>
    <w:next w:val="829"/>
    <w:uiPriority w:val="39"/>
    <w:unhideWhenUsed/>
    <w:pPr>
      <w:ind w:left="850" w:right="0" w:firstLine="0"/>
      <w:spacing w:after="57"/>
    </w:pPr>
  </w:style>
  <w:style w:type="paragraph" w:styleId="822">
    <w:name w:val="toc 5"/>
    <w:basedOn w:val="829"/>
    <w:next w:val="829"/>
    <w:uiPriority w:val="39"/>
    <w:unhideWhenUsed/>
    <w:pPr>
      <w:ind w:left="1134" w:right="0" w:firstLine="0"/>
      <w:spacing w:after="57"/>
    </w:pPr>
  </w:style>
  <w:style w:type="paragraph" w:styleId="823">
    <w:name w:val="toc 6"/>
    <w:basedOn w:val="829"/>
    <w:next w:val="829"/>
    <w:uiPriority w:val="39"/>
    <w:unhideWhenUsed/>
    <w:pPr>
      <w:ind w:left="1417" w:right="0" w:firstLine="0"/>
      <w:spacing w:after="57"/>
    </w:pPr>
  </w:style>
  <w:style w:type="paragraph" w:styleId="824">
    <w:name w:val="toc 7"/>
    <w:basedOn w:val="829"/>
    <w:next w:val="829"/>
    <w:uiPriority w:val="39"/>
    <w:unhideWhenUsed/>
    <w:pPr>
      <w:ind w:left="1701" w:right="0" w:firstLine="0"/>
      <w:spacing w:after="57"/>
    </w:pPr>
  </w:style>
  <w:style w:type="paragraph" w:styleId="825">
    <w:name w:val="toc 8"/>
    <w:basedOn w:val="829"/>
    <w:next w:val="829"/>
    <w:uiPriority w:val="39"/>
    <w:unhideWhenUsed/>
    <w:pPr>
      <w:ind w:left="1984" w:right="0" w:firstLine="0"/>
      <w:spacing w:after="57"/>
    </w:pPr>
  </w:style>
  <w:style w:type="paragraph" w:styleId="826">
    <w:name w:val="toc 9"/>
    <w:basedOn w:val="829"/>
    <w:next w:val="829"/>
    <w:uiPriority w:val="39"/>
    <w:unhideWhenUsed/>
    <w:pPr>
      <w:ind w:left="2268" w:right="0" w:firstLine="0"/>
      <w:spacing w:after="57"/>
    </w:pPr>
  </w:style>
  <w:style w:type="paragraph" w:styleId="827">
    <w:name w:val="TOC Heading"/>
    <w:uiPriority w:val="39"/>
    <w:unhideWhenUsed/>
  </w:style>
  <w:style w:type="paragraph" w:styleId="828">
    <w:name w:val="table of figures"/>
    <w:basedOn w:val="829"/>
    <w:next w:val="829"/>
    <w:uiPriority w:val="99"/>
    <w:unhideWhenUsed/>
    <w:pPr>
      <w:spacing w:after="0" w:afterAutospacing="0"/>
    </w:pPr>
  </w:style>
  <w:style w:type="paragraph" w:styleId="829" w:default="1">
    <w:name w:val="Normal"/>
    <w:qFormat/>
    <w:rPr>
      <w:rFonts w:eastAsiaTheme="minorEastAsia"/>
      <w:sz w:val="24"/>
      <w:szCs w:val="24"/>
    </w:rPr>
  </w:style>
  <w:style w:type="paragraph" w:styleId="830">
    <w:name w:val="Heading 1"/>
    <w:basedOn w:val="829"/>
    <w:link w:val="837"/>
    <w:uiPriority w:val="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831">
    <w:name w:val="Heading 2"/>
    <w:basedOn w:val="829"/>
    <w:link w:val="839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832">
    <w:name w:val="Heading 3"/>
    <w:basedOn w:val="829"/>
    <w:link w:val="841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 w:customStyle="1">
    <w:name w:val="msonormal"/>
    <w:basedOn w:val="829"/>
    <w:pPr>
      <w:spacing w:before="100" w:beforeAutospacing="1" w:after="100" w:afterAutospacing="1"/>
    </w:pPr>
  </w:style>
  <w:style w:type="character" w:styleId="837" w:customStyle="1">
    <w:name w:val="Заголовок 1 Знак"/>
    <w:basedOn w:val="833"/>
    <w:link w:val="830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38" w:customStyle="1">
    <w:name w:val="western"/>
    <w:basedOn w:val="829"/>
    <w:pPr>
      <w:spacing w:before="100" w:beforeAutospacing="1" w:after="100" w:afterAutospacing="1"/>
    </w:pPr>
  </w:style>
  <w:style w:type="character" w:styleId="839" w:customStyle="1">
    <w:name w:val="Заголовок 2 Знак"/>
    <w:basedOn w:val="833"/>
    <w:link w:val="831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40">
    <w:name w:val="Emphasis"/>
    <w:basedOn w:val="833"/>
    <w:uiPriority w:val="20"/>
    <w:qFormat/>
    <w:rPr>
      <w:i/>
      <w:iCs/>
    </w:rPr>
  </w:style>
  <w:style w:type="character" w:styleId="841" w:customStyle="1">
    <w:name w:val="Заголовок 3 Знак"/>
    <w:basedOn w:val="833"/>
    <w:link w:val="832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itpm-wiki.mos.ru/pages/viewpage.action?pageId=553171783" TargetMode="External"/><Relationship Id="rId9" Type="http://schemas.openxmlformats.org/officeDocument/2006/relationships/hyperlink" Target="https://itpm-wiki.mos.ru/pages/viewpage.action?pageId=553171817" TargetMode="External"/><Relationship Id="rId10" Type="http://schemas.openxmlformats.org/officeDocument/2006/relationships/hyperlink" Target="https://itpm-wiki.mos.ru/pages/viewpage.action?pageId=482562314" TargetMode="External"/><Relationship Id="rId11" Type="http://schemas.openxmlformats.org/officeDocument/2006/relationships/hyperlink" Target="https://itpm-wiki.mos.ru/pages/viewpage.action?pageId=484788057" TargetMode="External"/><Relationship Id="rId12" Type="http://schemas.openxmlformats.org/officeDocument/2006/relationships/hyperlink" Target="https://cloud.dit.mos.ru/apps/ditdocuments/s/wYj6atoLqNyErfJ?fileId=289256339" TargetMode="External"/><Relationship Id="rId13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hyperlink" Target="https://cloud.dit.mos.ru/apps/ditdocuments/s/wYj6atoLqNyErfJ?fileId=289256339" TargetMode="External"/><Relationship Id="rId15" Type="http://schemas.openxmlformats.org/officeDocument/2006/relationships/hyperlink" Target="https://cloud.dit.mos.ru/apps/ditdocuments/s/wYj6atoLqNyErfJ?fileId=289256339" TargetMode="External"/><Relationship Id="rId16" Type="http://schemas.openxmlformats.org/officeDocument/2006/relationships/hyperlink" Target="https://itpm-wiki.mos.ru/pages/viewpage.action?pageId=533161398" TargetMode="External"/><Relationship Id="rId17" Type="http://schemas.openxmlformats.org/officeDocument/2006/relationships/hyperlink" Target="https://itpm-wiki.mos.ru/pages/viewpage.action?pageId=487496895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4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ТБП55: "Зарегистрировать дело/документ"</dc:title>
  <dc:subject/>
  <dc:creator>Швецов Сергей Вячеславович</dc:creator>
  <cp:keywords/>
  <dc:description/>
  <cp:lastModifiedBy>Ксения Гончар</cp:lastModifiedBy>
  <cp:revision>13</cp:revision>
  <dcterms:created xsi:type="dcterms:W3CDTF">2025-11-19T10:10:00Z</dcterms:created>
  <dcterms:modified xsi:type="dcterms:W3CDTF">2026-05-05T08:58:43Z</dcterms:modified>
</cp:coreProperties>
</file>