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rFonts w:eastAsia="Times New Roman"/>
        </w:rPr>
      </w:pPr>
      <w:r>
        <w:rPr>
          <w:rFonts w:eastAsia="Times New Roman"/>
        </w:rPr>
        <w:t>ТБП-65: Передать дело по подсудности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1. Интервью </w:t>
      </w:r>
    </w:p>
    <w:p>
      <w:pPr>
        <w:pStyle w:val="NormalWeb"/>
        <w:spacing w:before="49" w:after="49"/>
        <w:rPr/>
      </w:pPr>
      <w:r>
        <w:rPr>
          <w:rStyle w:val="Hyperlink"/>
          <w:color w:val="auto"/>
          <w:u w:val="none"/>
        </w:rPr>
        <w:t xml:space="preserve">Интервью не проводилось. 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2. Перечень регламентирующих НПА</w:t>
      </w:r>
    </w:p>
    <w:tbl>
      <w:tblPr>
        <w:tblW w:w="9324" w:type="dxa"/>
        <w:jc w:val="left"/>
        <w:tblInd w:w="27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9324"/>
      </w:tblGrid>
      <w:tr>
        <w:trPr>
          <w:tblHeader w:val="true"/>
          <w:cantSplit w:val="true"/>
        </w:trPr>
        <w:tc>
          <w:tcPr>
            <w:tcW w:w="9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9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"Арбитражный процессуальный кодекс Российской Федерации" от 24.07.2002 N 95-ФЗ (ред. от 01.04.2025)</w:t>
            </w:r>
          </w:p>
        </w:tc>
      </w:tr>
      <w:tr>
        <w:trPr>
          <w:cantSplit w:val="true"/>
        </w:trPr>
        <w:tc>
          <w:tcPr>
            <w:tcW w:w="9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>
        <w:trPr>
          <w:cantSplit w:val="true"/>
        </w:trPr>
        <w:tc>
          <w:tcPr>
            <w:tcW w:w="9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tabs>
                <w:tab w:val="clear" w:pos="708"/>
                <w:tab w:val="left" w:pos="709" w:leader="none"/>
              </w:tabs>
              <w:spacing w:before="0" w:after="140"/>
              <w:ind w:left="709"/>
              <w:rPr/>
            </w:pPr>
            <w:r>
              <w:rPr>
                <w:rFonts w:eastAsia="Times New Roman"/>
              </w:rPr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</w:tc>
      </w:tr>
      <w:tr>
        <w:trPr>
          <w:cantSplit w:val="true"/>
        </w:trPr>
        <w:tc>
          <w:tcPr>
            <w:tcW w:w="9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tabs>
                <w:tab w:val="clear" w:pos="708"/>
                <w:tab w:val="left" w:pos="709" w:leader="none"/>
              </w:tabs>
              <w:spacing w:before="0" w:after="140"/>
              <w:ind w:left="709"/>
              <w:rPr/>
            </w:pPr>
            <w:r>
              <w:rPr>
                <w:rFonts w:eastAsia="Times New Roman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3. Акторы </w:t>
      </w:r>
    </w:p>
    <w:tbl>
      <w:tblPr>
        <w:tblW w:w="1446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3399"/>
        <w:gridCol w:w="11060"/>
      </w:tblGrid>
      <w:tr>
        <w:trPr/>
        <w:tc>
          <w:tcPr>
            <w:tcW w:w="3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Бизнес-роль</w:t>
            </w:r>
          </w:p>
        </w:tc>
        <w:tc>
          <w:tcPr>
            <w:tcW w:w="1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>
        <w:trPr>
          <w:cantSplit w:val="true"/>
        </w:trPr>
        <w:tc>
          <w:tcPr>
            <w:tcW w:w="3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Судья</w:t>
            </w:r>
          </w:p>
        </w:tc>
        <w:tc>
          <w:tcPr>
            <w:tcW w:w="1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Выбор суда для передачи дела по подсудности, принятие определения, проверка факта и результатов обжалования определения</w:t>
            </w:r>
          </w:p>
        </w:tc>
      </w:tr>
      <w:tr>
        <w:trPr>
          <w:trHeight w:val="20" w:hRule="atLeast"/>
          <w:cantSplit w:val="true"/>
        </w:trPr>
        <w:tc>
          <w:tcPr>
            <w:tcW w:w="3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Помощник судьи</w:t>
            </w:r>
          </w:p>
        </w:tc>
        <w:tc>
          <w:tcPr>
            <w:tcW w:w="1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Подготовка дел к передаче</w:t>
            </w:r>
          </w:p>
        </w:tc>
      </w:tr>
      <w:tr>
        <w:trPr>
          <w:trHeight w:val="20" w:hRule="atLeast"/>
          <w:cantSplit w:val="true"/>
        </w:trPr>
        <w:tc>
          <w:tcPr>
            <w:tcW w:w="33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Канцелярия</w:t>
            </w:r>
          </w:p>
        </w:tc>
        <w:tc>
          <w:tcPr>
            <w:tcW w:w="110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Направление документов и дел</w:t>
            </w:r>
          </w:p>
        </w:tc>
      </w:tr>
    </w:tbl>
    <w:p>
      <w:pPr>
        <w:pStyle w:val="NormalWeb"/>
        <w:spacing w:before="49" w:after="49"/>
        <w:rPr/>
      </w:pPr>
      <w:r>
        <w:rPr/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4. Процессуальные документы и их шаблоны (образцы)</w:t>
      </w:r>
    </w:p>
    <w:p>
      <w:pPr>
        <w:pStyle w:val="Heading3"/>
        <w:spacing w:before="49" w:after="49"/>
        <w:rPr>
          <w:rFonts w:eastAsia="Times New Roman"/>
        </w:rPr>
      </w:pPr>
      <w:r>
        <w:rPr>
          <w:rFonts w:eastAsia="Times New Roman"/>
        </w:rPr>
        <w:t>4.1 Документы рассмотрения (документы входящие от участников процесса</w:t>
      </w:r>
    </w:p>
    <w:tbl>
      <w:tblPr>
        <w:tblW w:w="3900" w:type="pct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088"/>
        <w:gridCol w:w="3936"/>
        <w:gridCol w:w="5087"/>
        <w:gridCol w:w="3353"/>
        <w:gridCol w:w="3703"/>
      </w:tblGrid>
      <w:tr>
        <w:trPr>
          <w:tblHeader w:val="true"/>
          <w:cantSplit w:val="true"/>
        </w:trPr>
        <w:tc>
          <w:tcPr>
            <w:tcW w:w="1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№</w:t>
            </w:r>
          </w:p>
        </w:tc>
        <w:tc>
          <w:tcPr>
            <w:tcW w:w="3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5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3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Форма документа</w:t>
            </w:r>
          </w:p>
        </w:tc>
        <w:tc>
          <w:tcPr>
            <w:tcW w:w="3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Образец</w:t>
            </w:r>
          </w:p>
        </w:tc>
      </w:tr>
      <w:tr>
        <w:trPr>
          <w:cantSplit w:val="true"/>
        </w:trPr>
        <w:tc>
          <w:tcPr>
            <w:tcW w:w="1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Ходатайство</w:t>
            </w:r>
          </w:p>
        </w:tc>
        <w:tc>
          <w:tcPr>
            <w:tcW w:w="5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Ходатайство о передаче дела на рассмотрение другого АС</w:t>
            </w:r>
          </w:p>
        </w:tc>
        <w:tc>
          <w:tcPr>
            <w:tcW w:w="3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Печатная/электронная</w:t>
            </w:r>
          </w:p>
        </w:tc>
        <w:tc>
          <w:tcPr>
            <w:tcW w:w="3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Не получен в ходе обследования</w:t>
            </w:r>
          </w:p>
        </w:tc>
      </w:tr>
      <w:tr>
        <w:trPr>
          <w:cantSplit w:val="true"/>
        </w:trPr>
        <w:tc>
          <w:tcPr>
            <w:tcW w:w="108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2</w:t>
            </w:r>
          </w:p>
        </w:tc>
        <w:tc>
          <w:tcPr>
            <w:tcW w:w="393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Ходатайство</w:t>
            </w:r>
          </w:p>
        </w:tc>
        <w:tc>
          <w:tcPr>
            <w:tcW w:w="50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Ходатайство о передаче дела на рассмотрение СОЮ</w:t>
            </w:r>
          </w:p>
        </w:tc>
        <w:tc>
          <w:tcPr>
            <w:tcW w:w="3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Печатная/электронная</w:t>
            </w:r>
          </w:p>
        </w:tc>
        <w:tc>
          <w:tcPr>
            <w:tcW w:w="37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Не получен в ходе обследования</w:t>
            </w:r>
          </w:p>
        </w:tc>
      </w:tr>
    </w:tbl>
    <w:p>
      <w:pPr>
        <w:pStyle w:val="NormalWeb"/>
        <w:spacing w:before="49" w:after="49"/>
        <w:rPr/>
      </w:pPr>
      <w:r>
        <w:rPr/>
      </w:r>
    </w:p>
    <w:p>
      <w:pPr>
        <w:pStyle w:val="Heading3"/>
        <w:spacing w:before="49" w:after="49"/>
        <w:rPr/>
      </w:pPr>
      <w:r>
        <w:rPr>
          <w:rFonts w:eastAsia="Times New Roman"/>
        </w:rPr>
        <w:t>4.2 Судебные акты</w:t>
      </w:r>
      <w:r>
        <w:rPr/>
        <w:t xml:space="preserve"> 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1164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393"/>
        <w:gridCol w:w="1329"/>
        <w:gridCol w:w="1844"/>
        <w:gridCol w:w="3194"/>
        <w:gridCol w:w="1532"/>
        <w:gridCol w:w="3347"/>
      </w:tblGrid>
      <w:tr>
        <w:trPr>
          <w:cantSplit w:val="true"/>
        </w:trPr>
        <w:tc>
          <w:tcPr>
            <w:tcW w:w="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№</w:t>
            </w:r>
          </w:p>
        </w:tc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Форма (протокольный/отдельный СА)</w:t>
            </w:r>
          </w:p>
        </w:tc>
        <w:tc>
          <w:tcPr>
            <w:tcW w:w="1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Обжалуется (да/нет)</w:t>
            </w:r>
          </w:p>
        </w:tc>
        <w:tc>
          <w:tcPr>
            <w:tcW w:w="3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Образец</w:t>
            </w:r>
          </w:p>
        </w:tc>
      </w:tr>
      <w:tr>
        <w:trPr>
          <w:cantSplit w:val="true"/>
        </w:trPr>
        <w:tc>
          <w:tcPr>
            <w:tcW w:w="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</w:t>
            </w:r>
          </w:p>
        </w:tc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Определение</w:t>
            </w:r>
          </w:p>
        </w:tc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Определение о передаче дела на рассмотрение СОЮ</w:t>
            </w: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Отдельный СА</w:t>
            </w:r>
          </w:p>
        </w:tc>
        <w:tc>
          <w:tcPr>
            <w:tcW w:w="1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uto-cursor-target"/>
              <w:spacing w:before="0" w:after="0"/>
              <w:rPr/>
            </w:pPr>
            <w:r>
              <w:rPr/>
              <w:t>Да</w:t>
            </w:r>
          </w:p>
        </w:tc>
        <w:tc>
          <w:tcPr>
            <w:tcW w:w="3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Не получен в ходе обследования</w:t>
            </w:r>
          </w:p>
        </w:tc>
      </w:tr>
      <w:tr>
        <w:trPr>
          <w:cantSplit w:val="true"/>
        </w:trPr>
        <w:tc>
          <w:tcPr>
            <w:tcW w:w="3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2</w:t>
            </w:r>
          </w:p>
        </w:tc>
        <w:tc>
          <w:tcPr>
            <w:tcW w:w="13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Определение</w:t>
            </w:r>
          </w:p>
        </w:tc>
        <w:tc>
          <w:tcPr>
            <w:tcW w:w="18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Определение о передаче дела на рассмотрение другого АС</w:t>
            </w:r>
          </w:p>
        </w:tc>
        <w:tc>
          <w:tcPr>
            <w:tcW w:w="31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Отдельный СА</w:t>
            </w:r>
          </w:p>
        </w:tc>
        <w:tc>
          <w:tcPr>
            <w:tcW w:w="15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uto-cursor-target"/>
              <w:spacing w:before="0" w:after="0"/>
              <w:rPr/>
            </w:pPr>
            <w:r>
              <w:rPr/>
              <w:t>Да</w:t>
            </w:r>
          </w:p>
        </w:tc>
        <w:tc>
          <w:tcPr>
            <w:tcW w:w="334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Не получен в ходе обследования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5.  Процессуальные сроки</w:t>
      </w:r>
    </w:p>
    <w:p>
      <w:pPr>
        <w:pStyle w:val="NormalWeb"/>
        <w:spacing w:before="49" w:after="49"/>
        <w:jc w:val="both"/>
        <w:rPr/>
      </w:pPr>
      <w:r>
        <w:rPr/>
        <w:t xml:space="preserve"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 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296"/>
        <w:gridCol w:w="3756"/>
        <w:gridCol w:w="1773"/>
        <w:gridCol w:w="2518"/>
      </w:tblGrid>
      <w:tr>
        <w:trPr/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2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Применимые нормы (по возможности)</w:t>
            </w:r>
          </w:p>
        </w:tc>
      </w:tr>
      <w:tr>
        <w:trPr>
          <w:cantSplit w:val="true"/>
        </w:trPr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22</w:t>
            </w: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Ожидание обжалования определения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10 дней со дня вынесения</w:t>
            </w:r>
          </w:p>
        </w:tc>
        <w:tc>
          <w:tcPr>
            <w:tcW w:w="2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АПК РФ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6. Реестр справочников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9436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696"/>
        <w:gridCol w:w="2193"/>
        <w:gridCol w:w="2243"/>
        <w:gridCol w:w="2181"/>
        <w:gridCol w:w="2123"/>
      </w:tblGrid>
      <w:tr>
        <w:trPr>
          <w:cantSplit w:val="true"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№</w:t>
            </w:r>
          </w:p>
        </w:tc>
        <w:tc>
          <w:tcPr>
            <w:tcW w:w="2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Наименование справочника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Назначение справочника</w:t>
            </w:r>
          </w:p>
        </w:tc>
        <w:tc>
          <w:tcPr>
            <w:tcW w:w="2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Структура справочника</w:t>
            </w:r>
          </w:p>
        </w:tc>
        <w:tc>
          <w:tcPr>
            <w:tcW w:w="2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Значения справочника</w:t>
            </w:r>
          </w:p>
        </w:tc>
      </w:tr>
      <w:tr>
        <w:trPr>
          <w:cantSplit w:val="true"/>
        </w:trPr>
        <w:tc>
          <w:tcPr>
            <w:tcW w:w="6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1.1</w:t>
            </w:r>
          </w:p>
        </w:tc>
        <w:tc>
          <w:tcPr>
            <w:tcW w:w="2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Арбитражные суды</w:t>
            </w:r>
          </w:p>
        </w:tc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Наименования и коды арбитражных судов Российской Федерации</w:t>
            </w:r>
          </w:p>
        </w:tc>
        <w:tc>
          <w:tcPr>
            <w:tcW w:w="21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см. страницу 1.1</w:t>
            </w:r>
          </w:p>
        </w:tc>
        <w:tc>
          <w:tcPr>
            <w:tcW w:w="21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hyperlink r:id="rId2">
              <w:r>
                <w:rPr>
                  <w:rStyle w:val="Hyperlink"/>
                </w:rPr>
                <w:t>Ссылка на справочник</w:t>
              </w:r>
            </w:hyperlink>
          </w:p>
        </w:tc>
      </w:tr>
      <w:tr>
        <w:trPr>
          <w:trHeight w:val="20" w:hRule="atLeast"/>
          <w:cantSplit w:val="true"/>
        </w:trPr>
        <w:tc>
          <w:tcPr>
            <w:tcW w:w="6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1.15</w:t>
            </w:r>
          </w:p>
        </w:tc>
        <w:tc>
          <w:tcPr>
            <w:tcW w:w="2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Основания процессуального действия (решения)</w:t>
            </w:r>
          </w:p>
        </w:tc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Основания процессуального действия (решения), выбираемые в судебном акте</w:t>
            </w:r>
          </w:p>
        </w:tc>
        <w:tc>
          <w:tcPr>
            <w:tcW w:w="21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см. страницу 1.15</w:t>
            </w:r>
          </w:p>
        </w:tc>
        <w:tc>
          <w:tcPr>
            <w:tcW w:w="21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hyperlink r:id="rId3">
              <w:r>
                <w:rPr>
                  <w:rStyle w:val="Hyperlink"/>
                  <w:rFonts w:eastAsia="Times New Roman"/>
                </w:rPr>
                <w:t>Ссылка на справочник</w:t>
              </w:r>
            </w:hyperlink>
          </w:p>
        </w:tc>
      </w:tr>
      <w:tr>
        <w:trPr>
          <w:trHeight w:val="20" w:hRule="atLeast"/>
          <w:cantSplit w:val="true"/>
        </w:trPr>
        <w:tc>
          <w:tcPr>
            <w:tcW w:w="6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2.1</w:t>
            </w:r>
          </w:p>
        </w:tc>
        <w:tc>
          <w:tcPr>
            <w:tcW w:w="2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Адресат (отправка/получение дела)</w:t>
            </w:r>
          </w:p>
        </w:tc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Адреса судов, справочник АСгМ</w:t>
            </w:r>
          </w:p>
        </w:tc>
        <w:tc>
          <w:tcPr>
            <w:tcW w:w="21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см. страницу 2.1</w:t>
            </w:r>
          </w:p>
        </w:tc>
        <w:tc>
          <w:tcPr>
            <w:tcW w:w="212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hyperlink r:id="rId4">
              <w:r>
                <w:rPr>
                  <w:rStyle w:val="Hyperlink"/>
                  <w:rFonts w:eastAsia="Times New Roman"/>
                </w:rPr>
                <w:t>Ссылка на справочник</w:t>
              </w:r>
            </w:hyperlink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9432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521"/>
        <w:gridCol w:w="2237"/>
        <w:gridCol w:w="2950"/>
        <w:gridCol w:w="2723"/>
      </w:tblGrid>
      <w:tr>
        <w:trPr/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2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2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>
        <w:trPr>
          <w:cantSplit w:val="true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СОЮ</w:t>
            </w:r>
          </w:p>
        </w:tc>
        <w:tc>
          <w:tcPr>
            <w:tcW w:w="2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Передача дел</w:t>
            </w:r>
          </w:p>
        </w:tc>
        <w:tc>
          <w:tcPr>
            <w:tcW w:w="2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rPr/>
            </w:pPr>
            <w:r>
              <w:rPr/>
              <w:t>Передача дел по подсудности из АС в СОЮ</w:t>
            </w:r>
          </w:p>
        </w:tc>
      </w:tr>
    </w:tbl>
    <w:p>
      <w:pPr>
        <w:pStyle w:val="Heading2"/>
        <w:spacing w:before="49" w:after="49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8. AS IS</w:t>
      </w:r>
    </w:p>
    <w:p>
      <w:pPr>
        <w:pStyle w:val="Heading3"/>
        <w:spacing w:before="49" w:after="49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8.1  </w:t>
      </w:r>
      <w:r>
        <w:rPr>
          <w:rFonts w:eastAsia="Times New Roman"/>
        </w:rPr>
        <w:t>Схема</w:t>
      </w:r>
      <w:r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процесса</w:t>
      </w:r>
      <w:r>
        <w:rPr>
          <w:rFonts w:eastAsia="Times New Roman"/>
          <w:lang w:val="en-US"/>
        </w:rPr>
        <w:t> </w:t>
      </w:r>
    </w:p>
    <w:p>
      <w:pPr>
        <w:pStyle w:val="BodyText"/>
        <w:rPr>
          <w:lang w:val="en-US"/>
        </w:rPr>
      </w:pPr>
      <w:r>
        <w:rPr>
          <w:rStyle w:val="Style11"/>
          <w:lang w:val="en-US"/>
        </w:rPr>
        <w:t>TBP65_peredat_delo_podsudnosti_asis.bpmn</w:t>
      </w:r>
    </w:p>
    <w:p>
      <w:pPr>
        <w:pStyle w:val="Heading3"/>
        <w:spacing w:before="49" w:after="49"/>
        <w:rPr>
          <w:rFonts w:eastAsia="Times New Roman"/>
        </w:rPr>
      </w:pPr>
      <w:r>
        <w:rPr>
          <w:rFonts w:eastAsia="Times New Roman"/>
        </w:rPr>
        <w:t>8.2 Описание схемы</w:t>
      </w:r>
    </w:p>
    <w:p>
      <w:pPr>
        <w:pStyle w:val="Heading2"/>
        <w:spacing w:before="49" w:after="49"/>
        <w:rPr>
          <w:b w:val="false"/>
          <w:bCs w:val="false"/>
          <w:sz w:val="24"/>
          <w:szCs w:val="24"/>
        </w:rPr>
      </w:pPr>
      <w:r>
        <w:rPr>
          <w:rFonts w:eastAsia="Times New Roman"/>
          <w:sz w:val="24"/>
          <w:szCs w:val="24"/>
        </w:rPr>
        <w:t>Термины и сокращения:</w:t>
      </w:r>
      <w:r>
        <w:rPr>
          <w:rFonts w:eastAsia="Times New Roman"/>
          <w:b w:val="false"/>
          <w:bCs w:val="false"/>
          <w:sz w:val="24"/>
          <w:szCs w:val="24"/>
        </w:rPr>
        <w:t xml:space="preserve"> </w:t>
      </w:r>
      <w:hyperlink r:id="rId5">
        <w:r>
          <w:rPr>
            <w:rStyle w:val="Hyperlink"/>
            <w:rFonts w:eastAsia="Times New Roman"/>
            <w:b w:val="false"/>
            <w:bCs w:val="false"/>
            <w:sz w:val="24"/>
            <w:szCs w:val="24"/>
          </w:rPr>
          <w:t>https://itpm-wiki.mos.ru/pages/viewpage.action?pageId=533161398</w:t>
        </w:r>
      </w:hyperlink>
    </w:p>
    <w:tbl>
      <w:tblPr>
        <w:tblW w:w="160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05"/>
        <w:gridCol w:w="1543"/>
        <w:gridCol w:w="2210"/>
        <w:gridCol w:w="2211"/>
        <w:gridCol w:w="2286"/>
        <w:gridCol w:w="6554"/>
      </w:tblGrid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Номер действия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Роль</w:t>
              <w:br/>
            </w:r>
            <w:r>
              <w:rPr>
                <w:rStyle w:val="Emphasis"/>
                <w:b/>
                <w:bCs/>
              </w:rPr>
              <w:t>(актор на конкретном шаге, в т.ч. Система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Входящие материалы</w:t>
              <w:br/>
            </w:r>
            <w:r>
              <w:rPr>
                <w:rStyle w:val="Emphasis"/>
                <w:b/>
                <w:bCs/>
              </w:rPr>
              <w:t>(объект/данные, инициирующие шаг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Исходящие материалы</w:t>
              <w:br/>
            </w:r>
            <w:r>
              <w:rPr>
                <w:rStyle w:val="Emphasis"/>
                <w:b/>
                <w:bCs/>
              </w:rPr>
              <w:t>(объект, являющийся результатом действия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Описание шага процесса</w:t>
            </w:r>
          </w:p>
        </w:tc>
      </w:tr>
      <w:tr>
        <w:trPr>
          <w:trHeight w:val="10712" w:hRule="atLeast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Судья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 xml:space="preserve">Установлены основания для передачи дела по подсудности </w:t>
              <w:br/>
              <w:t>Стартовое событие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После проверки подсудности и проверки оснований передачи по подсудности судом были выявлены основания для передачи дела по подсудности.</w:t>
            </w:r>
          </w:p>
          <w:p>
            <w:pPr>
              <w:pStyle w:val="Style14"/>
              <w:rPr/>
            </w:pPr>
            <w:r>
              <w:rPr/>
              <w:t>Процесс регулируется ст. 39 АПК РФ.</w:t>
            </w:r>
          </w:p>
        </w:tc>
      </w:tr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1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Судья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Необходимо передать дело в СОЮ?</w:t>
              <w:br/>
              <w:t>Эксклюзивный шлюз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Судьей может быть установлена необходимость передачи дела либо в СОЮ (ч. 4 ст. 39 АПК РФ), либо в АС того же уровня (ч. 2 ст. 39 АПК РФ).</w:t>
            </w:r>
          </w:p>
          <w:p>
            <w:pPr>
              <w:pStyle w:val="Style14"/>
              <w:rPr/>
            </w:pPr>
            <w:r>
              <w:rPr/>
            </w:r>
          </w:p>
          <w:p>
            <w:pPr>
              <w:pStyle w:val="Style14"/>
              <w:rPr/>
            </w:pPr>
            <w:r>
              <w:rPr/>
              <w:t>Если необходима передача дела на рассмотрение СОЮ, то переход к шагу 2.</w:t>
            </w:r>
          </w:p>
          <w:p>
            <w:pPr>
              <w:pStyle w:val="Style14"/>
              <w:rPr/>
            </w:pPr>
            <w:r>
              <w:rPr/>
              <w:t>Если нет, то переход к шагу 3.</w:t>
            </w:r>
          </w:p>
        </w:tc>
      </w:tr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2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Судья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Определить для передачи суд субъекта РФ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Согласно ч. 4 ст. 39 АПК РФ, если при рассмотрении дела в арбитражном суде выяснилось, что оно подлежит рассмотрению судом общей юрисдикции, арбитражный суд передает дело в верховный суд республики, краевой, областной суд, суд города федерального значения, суд автономной области или суд автономного округа того же субъекта Российской Федерации для направления его в суд общей юрисдикции, к подсудности которого оно отнесено законом.</w:t>
            </w:r>
          </w:p>
          <w:p>
            <w:pPr>
              <w:pStyle w:val="Style14"/>
              <w:rPr/>
            </w:pPr>
            <w:r>
              <w:rPr/>
            </w:r>
          </w:p>
          <w:p>
            <w:pPr>
              <w:pStyle w:val="Style14"/>
              <w:rPr/>
            </w:pPr>
            <w:r>
              <w:rPr/>
              <w:t>Судья определяет конкретный суд субъекта РФ для передачи дела.</w:t>
            </w:r>
          </w:p>
        </w:tc>
      </w:tr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3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Судья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Определить АС того же уровня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Судья определяет арбитражный суд того же уровня для передачи дела по правилам ч. 2 ст. 39 АПК РФ.</w:t>
            </w:r>
          </w:p>
        </w:tc>
      </w:tr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Закрывающий шлюз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Закрывающий шлюз, объединяющий потоки из шагов 2 и 3</w:t>
            </w:r>
          </w:p>
        </w:tc>
      </w:tr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5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Судья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Определение о передаче дела на рассмотрение СОЮ/Определение о передаче дела на рассмотрение другого АС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ТБП80. Принять СА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Вызов </w:t>
            </w:r>
            <w:hyperlink r:id="rId6">
              <w:r>
                <w:rPr>
                  <w:rStyle w:val="Hyperlink"/>
                </w:rPr>
                <w:t>ТБП80 "Принять СА".</w:t>
              </w:r>
            </w:hyperlink>
            <w:r>
              <w:rPr/>
              <w:t> В рамках процесса судья формирует и подписывает определение о передаче дела на рассмотрение СОЮ или Определение о передаче дела на рассмотрение другого АС, в зависимости от того, куда было принято решение передавать дело по подсудности.</w:t>
            </w:r>
          </w:p>
        </w:tc>
      </w:tr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6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Канцелярия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Определение о передаче дела на рассмотрение СОЮ/Определение о передаче дела на рассмотрение другого АС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ТБП46. Направить документ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Вызов </w:t>
            </w:r>
            <w:hyperlink r:id="rId7">
              <w:r>
                <w:rPr>
                  <w:rStyle w:val="Hyperlink"/>
                </w:rPr>
                <w:t>ТБП46 "Направить документ".</w:t>
              </w:r>
            </w:hyperlink>
            <w:r>
              <w:rPr/>
              <w:t> В рамках процесса канцелярия осуществляет направление определения лицам, участвующим в деле, для ознакомления.</w:t>
            </w:r>
          </w:p>
        </w:tc>
      </w:tr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7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Судья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Ожидать 10 дней со дня вынесения.</w:t>
              <w:br/>
              <w:t>Таймер.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По результатам рассмотрения арбитражным судом вопроса о передаче дела на рассмотрение другого арбитражного суда или суда общей юрисдикции выносится определение, которое может быть обжаловано в арбитражный суд апелляционной инстанции в десятидневный срок со дня его вынесения. (ч. 5 ст. 39 АПК РФ)</w:t>
            </w:r>
          </w:p>
          <w:p>
            <w:pPr>
              <w:pStyle w:val="Style14"/>
              <w:rPr/>
            </w:pPr>
            <w:r>
              <w:rPr/>
              <w:t>Судья ожидает срок 10 дней со дня вынесения определения — срок на обжалование определения в апелляционном порядке</w:t>
            </w:r>
          </w:p>
        </w:tc>
      </w:tr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8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Судья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Проверить факт обжалования определения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Судья проверяет, было ли обжаловано вынесенное определение в суде вышестоящей инстанции.</w:t>
            </w:r>
          </w:p>
        </w:tc>
      </w:tr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9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Судья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Определение было обжаловано?</w:t>
            </w:r>
          </w:p>
          <w:p>
            <w:pPr>
              <w:pStyle w:val="Style14"/>
              <w:rPr/>
            </w:pPr>
            <w:r>
              <w:rPr/>
              <w:br/>
              <w:t>Эксклюзивный шлюз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Определение было обжаловано?</w:t>
            </w:r>
          </w:p>
          <w:p>
            <w:pPr>
              <w:pStyle w:val="Style14"/>
              <w:rPr/>
            </w:pPr>
            <w:r>
              <w:rPr/>
              <w:t>Если да, то переход к шагу 10.</w:t>
            </w:r>
          </w:p>
          <w:p>
            <w:pPr>
              <w:pStyle w:val="Style14"/>
              <w:rPr/>
            </w:pPr>
            <w:r>
              <w:rPr/>
              <w:t>Если нет, то переход к шагу 13</w:t>
            </w:r>
          </w:p>
          <w:p>
            <w:pPr>
              <w:pStyle w:val="Style14"/>
              <w:rPr/>
            </w:pPr>
            <w:r>
              <w:rPr/>
            </w:r>
          </w:p>
        </w:tc>
      </w:tr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10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Судья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Проверить итог рассмотрения жалобы вышестоящим судом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Судья проверяет, какое решение вынес суд вышестоящей инстанции в отношении обжалуемого определения.</w:t>
            </w:r>
          </w:p>
        </w:tc>
      </w:tr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11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Судья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Определение было отменено?</w:t>
            </w:r>
          </w:p>
          <w:p>
            <w:pPr>
              <w:pStyle w:val="Style14"/>
              <w:rPr/>
            </w:pPr>
            <w:r>
              <w:rPr/>
              <w:br/>
              <w:t>Эксклюзивный шлюз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Определение было отменено?</w:t>
            </w:r>
          </w:p>
          <w:p>
            <w:pPr>
              <w:pStyle w:val="Style14"/>
              <w:rPr/>
            </w:pPr>
            <w:r>
              <w:rPr/>
              <w:t>Если да, то переход к шагу 12.</w:t>
            </w:r>
          </w:p>
          <w:p>
            <w:pPr>
              <w:pStyle w:val="Style14"/>
              <w:rPr/>
            </w:pPr>
            <w:r>
              <w:rPr/>
              <w:t>Если нет, то переход к шагу 13</w:t>
            </w:r>
          </w:p>
          <w:p>
            <w:pPr>
              <w:pStyle w:val="Style14"/>
              <w:rPr/>
            </w:pPr>
            <w:r>
              <w:rPr/>
            </w:r>
          </w:p>
        </w:tc>
      </w:tr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12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Судья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Завершающее событие.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Дело не передано по подсудности ввиду отмены определения вышестоящим судом.</w:t>
            </w:r>
          </w:p>
        </w:tc>
      </w:tr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13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Судья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Закрывающий шлюз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Закрывающий шлюз, объединяющий потоки из шагов 9 и 11</w:t>
            </w:r>
          </w:p>
        </w:tc>
      </w:tr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14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Помощник судьи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Дело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ТБП88.Подготовить дело к передаче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Дело и определение направляются в арбитражный суд или суд общей юрисдикции по истечении срока, предусмотренного для обжалования этого определения, а в случае подачи жалобы - после принятия постановления суда об оставлении жалобы без удовлетворения. (ч. 5 ст. 39 АПК РФ)</w:t>
            </w:r>
          </w:p>
          <w:p>
            <w:pPr>
              <w:pStyle w:val="Style14"/>
              <w:rPr/>
            </w:pPr>
            <w:r>
              <w:rPr/>
              <w:t>Вызов </w:t>
            </w:r>
            <w:hyperlink r:id="rId8">
              <w:r>
                <w:rPr>
                  <w:rStyle w:val="Hyperlink"/>
                </w:rPr>
                <w:t>ТБП88 "Подготовить дело к передаче".</w:t>
              </w:r>
            </w:hyperlink>
            <w:r>
              <w:rPr/>
              <w:t> В рамках процесса происходит подготовка дела к передаче в другой суд с формированием всех необходимых томов дела (включая их обложки) и иных необходимых для передачи действий со стороны помощника судьи.</w:t>
            </w:r>
          </w:p>
        </w:tc>
      </w:tr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15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Канцелярия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Дело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ТБП47. Направить дело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Вызов </w:t>
            </w:r>
            <w:hyperlink r:id="rId9">
              <w:r>
                <w:rPr>
                  <w:rStyle w:val="Hyperlink"/>
                </w:rPr>
                <w:t>ТБП46 "Направить документ".</w:t>
              </w:r>
            </w:hyperlink>
            <w:r>
              <w:rPr/>
              <w:t> В рамках процесса канцелярия осуществляет действия по направлению подготовленного дела к передаче в другой суд.</w:t>
            </w:r>
          </w:p>
        </w:tc>
      </w:tr>
      <w:tr>
        <w:trPr/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16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Канцелярия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-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Завершающее событие.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Дело передано по подсудности.</w:t>
            </w:r>
          </w:p>
        </w:tc>
      </w:tr>
    </w:tbl>
    <w:p>
      <w:pPr>
        <w:pStyle w:val="NormalWeb"/>
        <w:spacing w:before="49" w:after="49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Aptos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3"/>
    <w:uiPriority w:val="9"/>
    <w:qFormat/>
    <w:pPr>
      <w:spacing w:beforeAutospacing="1" w:afterAutospacing="1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3" w:customStyle="1">
    <w:name w:val="Заголовок 3 Знак"/>
    <w:basedOn w:val="DefaultParagraphFont"/>
    <w:uiPriority w:val="9"/>
    <w:semiHidden/>
    <w:qFormat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sid w:val="005d67e4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d67e4"/>
    <w:rPr>
      <w:color w:val="605E5C"/>
      <w:shd w:fill="E1DFDD" w:val="clear"/>
    </w:rPr>
  </w:style>
  <w:style w:type="character" w:styleId="FollowedHyperlink">
    <w:name w:val="FollowedHyperlink"/>
    <w:rPr>
      <w:color w:val="800000"/>
      <w:u w:val="single"/>
    </w:rPr>
  </w:style>
  <w:style w:type="character" w:styleId="Style11" w:customStyle="1">
    <w:name w:val="Исходный текст"/>
    <w:qFormat/>
    <w:rPr>
      <w:rFonts w:ascii="Liberation Mono" w:hAnsi="Liberation Mono" w:eastAsia="NSimSun" w:cs="Liberation Mono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/>
  </w:style>
  <w:style w:type="paragraph" w:styleId="Auto-cursor-target" w:customStyle="1">
    <w:name w:val="auto-cursor-target"/>
    <w:basedOn w:val="Normal"/>
    <w:qFormat/>
    <w:pPr>
      <w:spacing w:beforeAutospacing="1" w:afterAutospacing="1"/>
    </w:pPr>
    <w:rPr/>
  </w:style>
  <w:style w:type="paragraph" w:styleId="Enh-settings" w:customStyle="1">
    <w:name w:val="enh-settings"/>
    <w:basedOn w:val="Normal"/>
    <w:qFormat/>
    <w:pPr>
      <w:spacing w:beforeAutospacing="1" w:afterAutospacing="1"/>
    </w:pPr>
    <w:rPr/>
  </w:style>
  <w:style w:type="paragraph" w:styleId="Style14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5" w:customStyle="1">
    <w:name w:val="Заголовок таблицы"/>
    <w:basedOn w:val="Style14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oud.dit.mos.ru/apps/ditdocuments/s/wYj6atoLqNyErfJ?fileId=289256339" TargetMode="External"/><Relationship Id="rId3" Type="http://schemas.openxmlformats.org/officeDocument/2006/relationships/hyperlink" Target="https://cloud.dit.mos.ru/apps/ditdocuments/s/wYj6atoLqNyErfJ?fileId=289256339" TargetMode="External"/><Relationship Id="rId4" Type="http://schemas.openxmlformats.org/officeDocument/2006/relationships/hyperlink" Target="https://cloud.dit.mos.ru/apps/ditdocuments/s/wYj6atoLqNyErfJ?fileId=289256339" TargetMode="External"/><Relationship Id="rId5" Type="http://schemas.openxmlformats.org/officeDocument/2006/relationships/hyperlink" Target="https://itpm-wiki.mos.ru/pages/viewpage.action?pageId=533161398" TargetMode="External"/><Relationship Id="rId6" Type="http://schemas.openxmlformats.org/officeDocument/2006/relationships/hyperlink" Target="https://itpm-wiki.mos.ru/pages/viewpage.action?pageId=487497481" TargetMode="External"/><Relationship Id="rId7" Type="http://schemas.openxmlformats.org/officeDocument/2006/relationships/hyperlink" Target="https://itpm-wiki.mos.ru/pages/viewpage.action?pageId=487496896" TargetMode="External"/><Relationship Id="rId8" Type="http://schemas.openxmlformats.org/officeDocument/2006/relationships/hyperlink" Target="https://itpm-wiki.mos.ru/pages/viewpage.action?pageId=487497491" TargetMode="External"/><Relationship Id="rId9" Type="http://schemas.openxmlformats.org/officeDocument/2006/relationships/hyperlink" Target="https://itpm-wiki.mos.ru/pages/viewpage.action?pageId=487496896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1715</TotalTime>
  <Application>LibreOffice/7.6.4.1$Windows_X86_64 LibreOffice_project/e19e193f88cd6c0525a17fb7a176ed8e6a3e2aa1</Application>
  <AppVersion>15.0000</AppVersion>
  <Pages>1</Pages>
  <Words>1036</Words>
  <Characters>6343</Characters>
  <CharactersWithSpaces>7175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2025-12-29T05:48:00Z</dcterms:created>
  <dc:creator>Гончар Ксения Викторовна</dc:creator>
  <dc:description/>
  <dc:language>ru-RU</dc:language>
  <cp:lastModifiedBy/>
  <dcterms:modified xsi:type="dcterms:W3CDTF">2026-02-03T09:38:18Z</dcterms:modified>
  <cp:revision>28</cp:revision>
  <dc:subject/>
  <dc:title>Шаблон страницы судебного процесса As Is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