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830"/>
        <w:spacing w:before="200" w:after="120"/>
      </w:pPr>
      <w:r>
        <w:t xml:space="preserve">ТБП80. Принять СА</w:t>
      </w:r>
      <w:r/>
    </w:p>
    <w:p>
      <w:pPr>
        <w:pStyle w:val="83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1. Интервью 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u w:val="single"/>
        </w:rPr>
        <w:br/>
      </w:r>
      <w:hyperlink r:id="rId9" w:tooltip="https://itpm-wiki.mos.ru/pages/viewpage.action?pageId=482562297" w:history="1">
        <w:r>
          <w:rPr>
            <w:rStyle w:val="833"/>
            <w:rFonts w:ascii="Times New Roman" w:hAnsi="Times New Roman" w:eastAsia="Times New Roman" w:cs="Times New Roman"/>
          </w:rPr>
          <w:t xml:space="preserve">ОЛ3. Интервью судьи АСГМ</w:t>
        </w:r>
      </w:hyperlink>
      <w:r>
        <w:rPr>
          <w:rFonts w:ascii="Times New Roman" w:hAnsi="Times New Roman" w:eastAsia="Times New Roman" w:cs="Times New Roman"/>
          <w:u w:val="single"/>
        </w:rPr>
        <w:br/>
      </w:r>
      <w:hyperlink r:id="rId10" w:tooltip="https://itpm-wiki.mos.ru/pages/viewpage.action?pageId=489172422" w:history="1">
        <w:r>
          <w:rPr>
            <w:rStyle w:val="833"/>
            <w:rFonts w:ascii="Times New Roman" w:hAnsi="Times New Roman" w:eastAsia="Times New Roman" w:cs="Times New Roman"/>
          </w:rPr>
          <w:t xml:space="preserve">ОЛ16. Интервью управляющего делами АСМО</w:t>
        </w:r>
      </w:hyperlink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3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2. Перечень регламентирующих НПА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86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0409"/>
      </w:tblGrid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409" w:type="dxa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cs="Times New Roman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Название НПА с реквизитами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409" w:type="dxa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cs="Times New Roman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Арбитражный процессуальный кодекс Российской Федерации от 24.07.2002 N 95-ФЗ (ред. от 01.04.2025)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409" w:type="dxa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cs="Times New Roman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Постановление Пленума ВАС РФ от 25.12.2013 N 100 (ред. от 11.07.2014) Об утверждении Инструкции по делопроизводству в арбитражных судах Российской Федерации (первой, апелляционной и кассационной инстанций) (далее по тексту-Инструкция)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0409" w:type="dxa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cs="Times New Roman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Федеральный закон от 26.10.2002 N 127-ФЗ (ред. от 31.07.2025) "О несостоятельности (банкротстве)" (с изм. и доп., вступ. в силу с 01.09.2025)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830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3. Акторы 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tbl>
      <w:tblPr>
        <w:tblW w:w="19303" w:type="dxa"/>
        <w:tblInd w:w="0" w:type="dxa"/>
        <w:tblLayout w:type="fixed"/>
        <w:tblCellMar>
          <w:left w:w="28" w:type="dxa"/>
          <w:top w:w="28" w:type="dxa"/>
          <w:right w:w="28" w:type="dxa"/>
          <w:bottom w:w="28" w:type="dxa"/>
        </w:tblCellMar>
        <w:tblLook w:val="04A0" w:firstRow="1" w:lastRow="0" w:firstColumn="1" w:lastColumn="0" w:noHBand="0" w:noVBand="1"/>
      </w:tblPr>
      <w:tblGrid>
        <w:gridCol w:w="4535"/>
        <w:gridCol w:w="14768"/>
      </w:tblGrid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53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Бизнес-роль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6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Выполняемые действия/функция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>
          <w:trHeight w:val="29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53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Судья 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6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Инициирует процесс принятия судебного акта при возникновении пр</w:t>
            </w:r>
            <w:r>
              <w:rPr>
                <w:rFonts w:ascii="Times New Roman" w:hAnsi="Times New Roman" w:eastAsia="Times New Roman" w:cs="Times New Roman"/>
              </w:rPr>
              <w:t xml:space="preserve">оцессуальной необходимости (ст. 15 АПК РФ).</w:t>
              <w:br/>
              <w:t xml:space="preserve">Определяет процессуальную форму принятия судебного акта (в судебном заседании / без проведения судебного заседания).</w:t>
              <w:br/>
              <w:t xml:space="preserve">Устанавливает состав суда (единоличное или коллегиальное рассмотрение).</w:t>
              <w:br/>
              <w:t xml:space="preserve">Принимает судебны</w:t>
            </w:r>
            <w:r>
              <w:rPr>
                <w:rFonts w:ascii="Times New Roman" w:hAnsi="Times New Roman" w:eastAsia="Times New Roman" w:cs="Times New Roman"/>
              </w:rPr>
              <w:t xml:space="preserve">й акт единолично либо коллегиально.</w:t>
              <w:br/>
              <w:t xml:space="preserve">Формирует проект судебного акта (в том числе мотивированного) либо инициирует его формирование.</w:t>
              <w:br/>
              <w:t xml:space="preserve">Определяет необходимость и способ подписания судебного акта (ПЭП / УКЭП).</w:t>
              <w:br/>
              <w:t xml:space="preserve">Подписывает судебный акт в установленной фор</w:t>
            </w:r>
            <w:r>
              <w:rPr>
                <w:rFonts w:ascii="Times New Roman" w:hAnsi="Times New Roman" w:eastAsia="Times New Roman" w:cs="Times New Roman"/>
              </w:rPr>
              <w:t xml:space="preserve">ме.</w:t>
              <w:br/>
              <w:t xml:space="preserve">Принимает решение о форме судебного акта (резолютивная часть / полный текст).</w:t>
              <w:br/>
              <w:t xml:space="preserve">Проверяет наличие оснований для изготовления мотивированной части судебного акта (по закону, по заявлению стороны, по апелляционной жалобе).</w:t>
              <w:br/>
              <w:t xml:space="preserve">Рассматривает заявления об </w:t>
            </w:r>
            <w:r>
              <w:rPr>
                <w:rFonts w:ascii="Times New Roman" w:hAnsi="Times New Roman" w:eastAsia="Times New Roman" w:cs="Times New Roman"/>
              </w:rPr>
              <w:t xml:space="preserve">изготовлении мотивированного судебного акта.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>
          <w:trHeight w:val="14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53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Помощник судьи 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6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Проверяет, подлежит ли судебный акт публикации,</w:t>
            </w:r>
            <w:r>
              <w:rPr>
                <w:rFonts w:ascii="Times New Roman" w:hAnsi="Times New Roman" w:eastAsia="Times New Roman" w:cs="Times New Roman"/>
              </w:rPr>
              <w:br/>
              <w:t xml:space="preserve">Обеспечивает публикацию судебного акта в установленной законом информационной системе (КАД).</w:t>
              <w:br/>
              <w:t xml:space="preserve">Определяет необходимость изготовления копий судебного акта для направления лицам, участвующим в деле.</w:t>
              <w:br/>
              <w:t xml:space="preserve">Организует изготовление и заверение </w:t>
            </w:r>
            <w:r>
              <w:rPr>
                <w:rFonts w:ascii="Times New Roman" w:hAnsi="Times New Roman" w:eastAsia="Times New Roman" w:cs="Times New Roman"/>
              </w:rPr>
              <w:t xml:space="preserve">копий судебного акта в соответствии с инструкцией по делопроизводству.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53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Секретарь судебного заседания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68" w:type="dxa"/>
            <w:vAlign w:val="center"/>
            <w:textDirection w:val="lrTb"/>
            <w:noWrap w:val="false"/>
          </w:tcPr>
          <w:p>
            <w:pPr>
              <w:pStyle w:val="847"/>
              <w:ind w:left="0" w:firstLine="0"/>
              <w:jc w:val="left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Оформляет протокол судебного заседания после оглашения СА.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830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4. Процессуальные документы и их шаблоны (образцы)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31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4.1 Документы рассмотрения (документы входящие от участников процесса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W w:w="19262" w:type="dxa"/>
        <w:tblInd w:w="0" w:type="dxa"/>
        <w:tblLayout w:type="fixed"/>
        <w:tblCellMar>
          <w:left w:w="28" w:type="dxa"/>
          <w:top w:w="28" w:type="dxa"/>
          <w:right w:w="28" w:type="dxa"/>
          <w:bottom w:w="28" w:type="dxa"/>
        </w:tblCellMar>
        <w:tblLook w:val="04A0" w:firstRow="1" w:lastRow="0" w:firstColumn="1" w:lastColumn="0" w:noHBand="0" w:noVBand="1"/>
      </w:tblPr>
      <w:tblGrid>
        <w:gridCol w:w="360"/>
        <w:gridCol w:w="1739"/>
        <w:gridCol w:w="6838"/>
        <w:gridCol w:w="8073"/>
        <w:gridCol w:w="2252"/>
      </w:tblGrid>
      <w:tr>
        <w:tblPrEx/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6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№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39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Вид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3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Наименование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7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Форма документа*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52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Образец**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6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39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Заявление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3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Заявление о вынесении мотивированного судебного акта по делу.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07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Бумажный документ / электронный документ / электронный документ с ЭЦП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52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11" w:tooltip="https://cloud.dit.mos.ru/apps/ditdocuments/s/wYj6atoLqNyErfJ?fileId=313143565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документ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84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*</w:t>
      </w:r>
      <w:r>
        <w:rPr>
          <w:rStyle w:val="834"/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Бумажный документ / электронный документ / электронный документ с ЭЦП / печатная форма (из ИС).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** Файл или ссылка на облако ДИТ. 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31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4.2 Судебные акты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Описываемый процесс не содержит указание на конкретные судебные акты, а описывает процесс вынесения всех судебных актов в целом. </w:t>
      </w:r>
      <w:r>
        <w:rPr>
          <w:rFonts w:ascii="Times New Roman" w:hAnsi="Times New Roman" w:eastAsia="Times New Roman" w:cs="Times New Roman"/>
        </w:rPr>
        <w:t xml:space="preserve">Образцы конкретных СА в зависимости от вида правоотношения содержатся на каркасных схемах процессов.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W w:w="13323" w:type="dxa"/>
        <w:tblInd w:w="0" w:type="dxa"/>
        <w:tblLayout w:type="fixed"/>
        <w:tblCellMar>
          <w:left w:w="28" w:type="dxa"/>
          <w:top w:w="28" w:type="dxa"/>
          <w:right w:w="28" w:type="dxa"/>
          <w:bottom w:w="28" w:type="dxa"/>
        </w:tblCellMar>
        <w:tblLook w:val="04A0" w:firstRow="1" w:lastRow="0" w:firstColumn="1" w:lastColumn="0" w:noHBand="0" w:noVBand="1"/>
      </w:tblPr>
      <w:tblGrid>
        <w:gridCol w:w="360"/>
        <w:gridCol w:w="1738"/>
        <w:gridCol w:w="2962"/>
        <w:gridCol w:w="4367"/>
        <w:gridCol w:w="2337"/>
        <w:gridCol w:w="1558"/>
      </w:tblGrid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6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№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3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Вид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62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Наименование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367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Форма (протокольный/отдельный СА)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337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Обжалуется (да/нет)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Образец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6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3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Не содержит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62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Не содержит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367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Не содержит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337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Не содержит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Не содержит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83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5.  Процессуальные сроки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(процессуальными сроками являются установленные процессуальными кодексами, иными федеральными законами либо назначенные судом сроки для совершения процессуальных действий судом, лицами, участвующими в деле, иными участниками процесса)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W w:w="15995" w:type="dxa"/>
        <w:tblInd w:w="0" w:type="dxa"/>
        <w:tblLayout w:type="fixed"/>
        <w:tblCellMar>
          <w:left w:w="28" w:type="dxa"/>
          <w:top w:w="28" w:type="dxa"/>
          <w:right w:w="28" w:type="dxa"/>
          <w:bottom w:w="28" w:type="dxa"/>
        </w:tblCellMar>
        <w:tblLook w:val="04A0" w:firstRow="1" w:lastRow="0" w:firstColumn="1" w:lastColumn="0" w:noHBand="0" w:noVBand="1"/>
      </w:tblPr>
      <w:tblGrid>
        <w:gridCol w:w="1227"/>
        <w:gridCol w:w="6348"/>
        <w:gridCol w:w="5416"/>
        <w:gridCol w:w="3004"/>
      </w:tblGrid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7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Шаг процесса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34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Описание процессуального действия, для которого установлен срок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41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Срок (год, месяц, день)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004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Применимые нормы (по возможности)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7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34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Подача заявления об изготовлении мотивированного СА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41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5 дней с даты вынесения резолютивной части СА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004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ст. 229 АПК РФ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7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34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Опубликование СА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41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Не позднее следующего дня после принятия решения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004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ст.177 АПК РФ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7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34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Изготовление мотивированного СА по делу в упрощенном порядке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41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5 дней со дня поступления заявления или подачи апелляционной жалобы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004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ст. 229 АПК РФ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7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34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Изготовление мотивированного СА (кроме упрощенного порядка)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41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10 дней со дня вынесения резолютивной части.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004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ст. 176 АПК РФ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>
          <w:trHeight w:val="643"/>
        </w:trPr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7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34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Рассмотрение заявления об исправлении ошибок/опечаток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41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10 дней со дня поступления заявления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004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ст. 179 АПК РФ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83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6. Реестр справочников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W w:w="16016" w:type="dxa"/>
        <w:tblInd w:w="0" w:type="dxa"/>
        <w:tblLayout w:type="fixed"/>
        <w:tblCellMar>
          <w:left w:w="28" w:type="dxa"/>
          <w:top w:w="28" w:type="dxa"/>
          <w:right w:w="28" w:type="dxa"/>
          <w:bottom w:w="28" w:type="dxa"/>
        </w:tblCellMar>
        <w:tblLook w:val="04A0" w:firstRow="1" w:lastRow="0" w:firstColumn="1" w:lastColumn="0" w:noHBand="0" w:noVBand="1"/>
      </w:tblPr>
      <w:tblGrid>
        <w:gridCol w:w="601"/>
        <w:gridCol w:w="4755"/>
        <w:gridCol w:w="4140"/>
        <w:gridCol w:w="3543"/>
        <w:gridCol w:w="2976"/>
      </w:tblGrid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№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Наименование справочника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Назначение справочника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Структура справочника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Значения справочника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1.7.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Документы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Учет и регистрация судебного акта как процессуального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12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1.10.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Категории лиц, участвующих в деле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Определение круга лиц, в отношении которых принимается судебный акт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13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1.14.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Нормативно-правовые акты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Правовое обоснование принятого судебного акта (АПК РФ, иные НПА)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14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1.15.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Основания процессуального действия (решения)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Фиксация оснований для принятия судебного акта (рассмотрение дела, результаты заседания и т.п.)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15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1.16.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Основания решения суда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Формализация мотивировочной части судебного акта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16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1.23.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Процессуальные действия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Отражение действия суда «принять судебный акт»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17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1.24.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Процессуальные состояния документов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Установка статуса судебного акта (подготовлен, принят, вступил в силу и др.)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18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1.25.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Процессуальные стадии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Указание стадии процесса, на которой принимается судебный акт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19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1.26.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Результаты рассмотрений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Фиксация итогового результата рассмотрения дела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20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1.28.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Типы документов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Определение вида судебного акта (решение, определение, постановление)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21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1.30.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Типы решений (постановлений) суда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Детализация разновидности судебного акта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22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1.31.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Участники информационного взаимодействия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Определение субъектов, которым подлежит направление судебного акта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23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1.33.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Экранные формы для отображения документов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Использование соответствующей формы ввода и просмотра судебного акта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24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2.9.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Подразделения суда и сотрудники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Идентификация суда и судьи, принявшего судебный акт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25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2.13.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Роли пользователей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Контроль полномочий на принятие и утверждение судебного акта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26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0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2.15.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75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Список сотрудников суда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40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Указание конкретного судьи (или состава суда), подписавшего акт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543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Структура справочника см. внутри документа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hyperlink r:id="rId27" w:tooltip="https://cloud.dit.mos.ru/apps/ditdocuments/s/wYj6atoLqNyErfJ?fileId=289256339" w:history="1">
              <w:r>
                <w:rPr>
                  <w:rStyle w:val="833"/>
                  <w:rFonts w:ascii="Times New Roman" w:hAnsi="Times New Roman" w:eastAsia="Times New Roman" w:cs="Times New Roman"/>
                </w:rPr>
                <w:t xml:space="preserve">Ссылка на справочник</w:t>
              </w:r>
            </w:hyperlink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83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7. Межведомственное взаимодействие 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описываемом процессе не происходит межведомственного взаимодействия.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W w:w="9779" w:type="dxa"/>
        <w:tblInd w:w="0" w:type="dxa"/>
        <w:tblLayout w:type="fixed"/>
        <w:tblCellMar>
          <w:left w:w="28" w:type="dxa"/>
          <w:top w:w="28" w:type="dxa"/>
          <w:right w:w="28" w:type="dxa"/>
          <w:bottom w:w="28" w:type="dxa"/>
        </w:tblCellMar>
        <w:tblLook w:val="04A0" w:firstRow="1" w:lastRow="0" w:firstColumn="1" w:lastColumn="0" w:noHBand="0" w:noVBand="1"/>
      </w:tblPr>
      <w:tblGrid>
        <w:gridCol w:w="2126"/>
        <w:gridCol w:w="2551"/>
        <w:gridCol w:w="2268"/>
        <w:gridCol w:w="2835"/>
      </w:tblGrid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Ведомство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Вид взаимодействия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Система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Style w:val="834"/>
                <w:rFonts w:ascii="Times New Roman" w:hAnsi="Times New Roman" w:eastAsia="Times New Roman" w:cs="Times New Roman"/>
              </w:rPr>
              <w:t xml:space="preserve">Суть взаимодействия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>
          <w:trHeight w:val="64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6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Отсутствует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Отсутствует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Отсутствует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  <w:textDirection w:val="lrTb"/>
            <w:noWrap w:val="false"/>
          </w:tcPr>
          <w:p>
            <w:pPr>
              <w:pStyle w:val="847"/>
              <w:spacing w:before="0" w:after="28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Отсутствует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83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8. AS IS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31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8.1 Схема процесса 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TBP80_prinyat_SA_asis.bpmn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31"/>
      </w:pPr>
      <w:r>
        <w:t xml:space="preserve">8.2 Описание схемы</w:t>
      </w:r>
      <w:r/>
    </w:p>
    <w:p>
      <w:pPr>
        <w:pStyle w:val="84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Термины и сокращения: </w:t>
      </w:r>
      <w:hyperlink r:id="rId28" w:tooltip="https://itpm-wiki.mos.ru/pages/viewpage.action?pageId=533161398" w:history="1">
        <w:r>
          <w:rPr>
            <w:rStyle w:val="833"/>
            <w:rFonts w:ascii="Times New Roman" w:hAnsi="Times New Roman" w:eastAsia="Times New Roman" w:cs="Times New Roman"/>
          </w:rPr>
          <w:t xml:space="preserve">https://itpm-wiki.mos.ru/pages/viewpage.action?pageId=533161398</w:t>
        </w:r>
      </w:hyperlink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tbl>
      <w:tblPr>
        <w:tblStyle w:val="686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752"/>
        <w:gridCol w:w="2344"/>
        <w:gridCol w:w="2941"/>
        <w:gridCol w:w="2827"/>
        <w:gridCol w:w="3478"/>
        <w:gridCol w:w="8045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b/>
                <w:bCs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</w:rPr>
              <w:t xml:space="preserve">Номер действия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b/>
                <w:bCs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</w:rPr>
              <w:t xml:space="preserve">Роль (актор на конкретном шаге, в т.ч. Система)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b/>
                <w:bCs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</w:rPr>
              <w:t xml:space="preserve">Входящие материалы (объект / данные, инициирующие шаг)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b/>
                <w:bCs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</w:rPr>
              <w:t xml:space="preserve">Исходящие материалы (объект, являющийся результатом действия)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b/>
                <w:bCs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</w:rPr>
              <w:t xml:space="preserve">Наименование шага процесса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b/>
                <w:bCs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</w:rPr>
              <w:t xml:space="preserve">Описание шага процесса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ходе судебного заседания рассмотрено ходатайство, требующее вынесения отдельного судебного акта или протокольного определения по вопросу/ завершено судебное заседание/рассмотрение дела по существу завершено/ судом рассмотрен вопрос, требующий вынесение с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удебного акта без назначения судебного заседания (Стартовое событие)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pStyle w:val="829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</w:rPr>
              <w:t xml:space="preserve">В соответствии со ст. 15 АП</w:t>
            </w:r>
            <w:r>
              <w:rPr>
                <w:rFonts w:ascii="Times New Roman" w:hAnsi="Times New Roman" w:eastAsia="Times New Roman" w:cs="Times New Roman"/>
              </w:rPr>
              <w:t xml:space="preserve">К РФ «Арбитражный суд принимает судебные акты в форме судебного приказа, решения, постановления, определения.  Судебный акт, вынесенный арбитражным судом первой инстанции в порядке приказного производства, именуется судебным приказом. Судебный акт, приняты</w:t>
            </w:r>
            <w:r>
              <w:rPr>
                <w:rFonts w:ascii="Times New Roman" w:hAnsi="Times New Roman" w:eastAsia="Times New Roman" w:cs="Times New Roman"/>
              </w:rPr>
              <w:t xml:space="preserve">й арбитражным судом первой инстанции при рассмотрении дела по существу, именуется решением. Судебные акты, принимаемые арбитражными судами апелляционной инстанции и судами кассационной инстанции </w:t>
            </w:r>
            <w:r>
              <w:rPr>
                <w:rFonts w:ascii="Times New Roman" w:hAnsi="Times New Roman" w:eastAsia="Times New Roman" w:cs="Times New Roman"/>
              </w:rPr>
              <w:t xml:space="preserve">по результатам рассмотрения апелляционных и кассационных жалоб, именуются постановлениями.  Все иные судебные акты арбитражных судов, принимаемые в ходе осуществления судо</w:t>
            </w:r>
            <w:r>
              <w:rPr>
                <w:rFonts w:ascii="Times New Roman" w:hAnsi="Times New Roman" w:eastAsia="Times New Roman" w:cs="Times New Roman"/>
              </w:rPr>
              <w:t xml:space="preserve">производства, именуются определениями».  Когда судья принял решение по делу и готов к вынесению итогового судебного акта или судье необходимо принять отдельный судебный акт по вопросу, возникшему в ходе рассмотрения дела, то стартует процесс принятия СА.  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Определить, проводилось ли СЗ для рассмотрения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анализирует материалы дела и устанавливает факт проведения или непроведения судебного заседания по вопросу, требующему вынесения судебного акта.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зависимости от того, проводилось ли судебное заседание при рассмотрении дела/вопроса по результатам которого нужно принять судебный акт или нет, будут запущены разные ветки процесса принятия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. Если СА выносится по результатам СЗ или в ходе СЗ, то процесс продолжается с шага 4 процесса. Если СА выносится без проведения СЗ, то процесс продолжается с шага 13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Определить состав суда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Судья устанавливает состав суда, рассматривавшего дело, для определения порядка вынесения судебного акта — коллегиально или единолично.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Дело может быть рассмотрено коллегиально, а может быть рассмотрено единолично судьей. В зависимости от того, в каком составе рассматривалось/рассматривается дело (судья может выносить промежуточный СА) будет зависеть дальнейшее движение процесса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СА выносится судьей единолично, то процесс продолжается с шага 6. Если СА выносится коллегиально, то процесс продолжается с шага 5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СА выносится в ходе СЗ/по итогам СЗ?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СА выносится в ходе СЗ/по итогам СЗ? 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«Да», то переход к шагу 4 процесса. 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«Нет», то переход к шагу 13 процесса.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СА выносится коллегиально?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СА выноси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тся коллегиально? 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«Да», то переход к шагу 3 процесса.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«Нет», то переход к шагу 4 процесса.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Судебный акт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29" w:tooltip="https://itpm-wiki.mos.ru/pages/viewpage.action?pageId=487497488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ТБП85.Принять СА коллегиально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типового процесса принятия судебного акта, в рамках которого судьи в коллегиальном составе совещаются, голосуют и подписывают документ. Результатом будет вынесенный коллегиально 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Судебный акт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30" w:tooltip="https://itpm-wiki.mos.ru/pages/viewpage.action?pageId=487497489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ТБП86.Принять СА единолично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типового процесса принятия судебного акта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в котором судья определяет форму судебного акта (только резолютивная часть или мотивированный) и принимает действия по его вынесению. Результатом будет вынесенный судьей единолично 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Сходящаяся развилка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Объединение разных потоков шагов в один.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Вернуться в зал СЗ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перемещается из совещательной комнаты в зал судебного заседания для оглашения принятого 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Огласить решение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зачитывает текст принятого судебного акта вслух в присутствии участников процесса.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Разъяснить порядок обжалования решения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объявляет порядок и сроки обжалования решения, а также сообщает дату изготовления полного текста акта, если ранее была оглашена только резолютивная часть.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Объявить СЗ завершенным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объявляет завершенным судебное заседания по делу.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Секретарь СЗ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31" w:tooltip="https://itpm-wiki.mos.ru/pages/viewpage.action?pageId=487497469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ТБП69.Оформить протокол СЗ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подпроцесса, в ходе которого секретарь судебного заседания оформляет протокол СЗ после завершения заседания. Результатом данного подпроцесса будет протокол СЗ.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Определить форму принятия СА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pStyle w:val="829"/>
              <w:rPr>
                <w:rFonts w:ascii="Times New Roman" w:hAnsi="Times New Roman" w:eastAsia="Times New Roman" w:cs="Times New Roman"/>
                <w:highlight w:val="none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Судья определяет форму, в которой выносится судебный акт: только резолютивная часть или сразу мотивированный СА. </w:t>
            </w:r>
            <w:r>
              <w:rPr>
                <w:rFonts w:ascii="Times New Roman" w:hAnsi="Times New Roman" w:eastAsia="Times New Roman" w:cs="Times New Roman"/>
              </w:rPr>
              <w:t xml:space="preserve">Согласно ст. 229 АПК РФ по делам, рассмотренным в упрощенном порядке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 выносит и публикует резолютивную часть. 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Мотивированное решение изготавливается </w:t>
            </w:r>
            <w:r>
              <w:rPr>
                <w:rFonts w:ascii="Times New Roman" w:hAnsi="Times New Roman" w:eastAsia="Times New Roman" w:cs="Times New Roman"/>
              </w:rPr>
              <w:t xml:space="preserve">только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если поступило соответствующее заявление от участвующего лица или если подана апелляционная жалоба </w:t>
            </w:r>
            <w:r>
              <w:rPr>
                <w:rFonts w:ascii="Times New Roman" w:hAnsi="Times New Roman" w:eastAsia="Times New Roman" w:cs="Times New Roman"/>
              </w:rPr>
              <w:br/>
              <w:t xml:space="preserve">Если нужно принять СА в форме только резолютивной части или принять сразу мотивированный СА, то процесс продолжается с шага 25</w:t>
            </w:r>
            <w:r>
              <w:rPr>
                <w:rFonts w:ascii="Times New Roman" w:hAnsi="Times New Roman" w:eastAsia="Times New Roman" w:cs="Times New Roman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highlight w:val="none"/>
              </w:rPr>
            </w:r>
          </w:p>
          <w:p>
            <w:pPr>
              <w:rPr>
                <w:rFonts w:ascii="Times New Roman" w:hAnsi="Times New Roman" w:eastAsia="Times New Roman" w:cs="Times New Roman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highlight w:val="none"/>
              </w:rPr>
              <w:t xml:space="preserve">Если нужно вынести мотивированный СА после оглашения резолютивной части, то процесс продолжается с шага 15.</w:t>
            </w:r>
            <w:r>
              <w:rPr>
                <w:rFonts w:ascii="Times New Roman" w:hAnsi="Times New Roman" w:eastAsia="Times New Roman" w:cs="Times New Roman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highlight w:val="none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какой форме принимается СА?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какой форме принимается СА?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«В форме резолютивной части как результат рассмотрения/ Мотивированный СА», то переход к  шагу 24</w:t>
              <w:br/>
              <w:t xml:space="preserve">Если «Мотивированный СА после оглашения резолютивной ч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асти»,то переход к шагу 15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Проверить необходимость изготовления мотивированного СА по умолчанию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проверяет правовые основания и обстоятельства дела для определения необходимости изготовления мотивированного судебного акта по умолчанию.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судебном заседании, в котором закончено рассмотрение дела по существу, может быть объявлена только резолютивная часть принятого решения. В этом случае арбитражный суд объявляет, когда будет изготовлено решение в полном объеме и разъясняет порядок доведен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ия его до сведения лиц, участвующих в деле. Изготовление решения в полном объеме может быть отложено на срок, не превышающий десяти дней. Дата изготовления решения в полном объеме считается датой принятия решения.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Если после оглашения резолютивной части судья обязан изготовить мотивированный СА в соответствии со ст. 176АПК РФ, то процесс продолжается с шага 25.</w:t>
              <w:br/>
              <w:t xml:space="preserve">Если дело было рассмотрено в порядке упрощенного производства, то процесс продолжается с шага 17</w:t>
            </w:r>
            <w:r>
              <w:rPr>
                <w:rFonts w:ascii="Times New Roman" w:hAnsi="Times New Roman" w:eastAsia="Times New Roman" w:cs="Times New Roman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Закон требует изготовление мотивированного СА по умолчанию после вынесения резолютивной части?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Закон требует изготовление мотивированного СА по умолчанию после вынесения резолютивной части?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«Да», то переход к шагу 22 процесса.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«Нет», то переход к шагу 17 процесса.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Проверить основание изготовления мотивированного СА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проверяет, какие имеются в деле основания для изготовления мотивированного решения по делу. Если мотивированный СА будет выносится, так как поступило заявление стороны, то процесс продолжается с шага 19.</w:t>
              <w:br/>
              <w:t xml:space="preserve">Если судом принята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поданная апелляционной жалоба, то процесс продолжается с шага 25.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Какие установлены основания для  вынесения мотивированного СА?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Какие установлены основания для  вынесения мотивированного СА?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/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Судом принята апелляционная жалоба стороны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», то переход к шагу 22 процесса.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Заявление стороны о изготовлении мотивированного СА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», то переход к шагу 19 процесса.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Заявление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32" w:tooltip="https://itpm-wiki.mos.ru/pages/viewpage.action?pageId=487497490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ТБП87.Рассмотреть заявление об изготовлении мотивированного СА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подпроцесса, в ходе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которого рассматривается заявление стороны об изготовлении мотивированного СА и принимается решение об удовлетворении заявления и изготовлении мотивированного СА или об отказе в удовлетворении заявления, в таком случае мотивированный СА не изготавливается.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Заявление удовлетворено по итогам рассмотрения?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Заявление удовлетворено по итогам рассмотрения?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Если "Да", то переход к шагу 23,</w:t>
              <w:br/>
              <w:t xml:space="preserve"> Если "Нет", то переход к шагу 21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Мотивированная часть СА не изготавливается судом (Конечное событие)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Завершение процесса принятия СА по делу.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Сходящаяся развилка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Объединение разных потоков шагов в один.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Сходящаяся развилка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Объединение разных потоков шагов в один.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Сходящаяся развилка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Объединение разных потоков шагов в один.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Проект СА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33" w:tooltip="https://itpm-wiki.mos.ru/pages/viewpage.action?pageId=487497486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ТБП84.Сформировать проект СА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подпроцесса в котором судья формирует проект судебного акта на основании материалов дела. Результатом данного подпроцесса будет проект 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Определить будет ли СА подписан УКЭП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принимает решение о подписании судебного акта с использование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 усиленной квалифицированной электронной подписи в специальной внешней программе в случае, если судебный акт будет изготовлен в электронной форме. Если СА будет только на бумажном носителе, то судья будет подписывать его только в САС для целей публикации.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Требуется подписать СА УКЭП?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Требуется подписать СА УКЭП?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«Да», то переход к шагу 29 процесса.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«Нет», то переход к шагу 28 процесса.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Проект СА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Подписать ПЭП в САС (Пользовательская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подписывает сформированный проект СА в системе ПК САД.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Проект СА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Подписать УКЭП (Пользовательская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подписывает сформированный проект СА УКЭП в специальной программе, которая не является частью ПК САД.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Сходящаяся развилка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Объединение разных потоков шагов в один.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Проект СА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Распечатать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распечатывает сформированный проект судебного акта.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 формировании СА в форме электронного документа дополнительно выполняется экземпляр данного решения на бумажном носителе, который будет подшит к делу. При формировании СА на бумажном носителе его так же необходимо распечатать для дальнейшего подпис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ания судьей и затем подшить к делу.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Подписать СА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ставит подпись на распечатанном судебном акте.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Сходящаяся развилка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Объединение разных потоков шагов в один.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Уточнить возможна ли публикация СА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</w:rPr>
              <w:t xml:space="preserve">СА принятый по делу, рассмотренному в закрытом судебном заседании не подлежит публикации.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В соответствии со ст. 11 АПК РФ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разбирательство дела в закрытом судебном заседании допускается,  если открытое разбирательство дела может привести к разглашению государственной тайны, в иных случаях, предусмотренных федеральным законом, а также при удовлетворении ходатайства лица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участвующего в деле и ссылающегося на необходимость сохранения коммерческой, служебной или иной охраняемой законом тайны.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СА принят в закрытом СЗ/ содержит государственную или иную, охраняемую законом тайну?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СА принят в закрытом СЗ/ содержит государственную или иную, охраняемую законом тайну?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br/>
              <w:t xml:space="preserve">Если "Да" – переход к шагу 37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"Нет" – переход к шагу 36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Принятый СА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34" w:tooltip="https://itpm-wiki.mos.ru/pages/viewpage.action?pageId=487496869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ТБП29.Опубликовать СА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pStyle w:val="829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Решение, выполненное в форме электронного документа, направляется лицам, участвующим в деле, п</w:t>
            </w:r>
            <w:r>
              <w:rPr>
                <w:rFonts w:ascii="Times New Roman" w:hAnsi="Times New Roman" w:eastAsia="Times New Roman" w:cs="Times New Roman"/>
              </w:rPr>
              <w:t xml:space="preserve">осредством его размещения в установленном порядке в информационно-телекоммуникационной сети "Интернет" в режиме ограниченного доступа не позднее следующего дня после дня его принятия. Решение, выполненное в форме электронного документа, может быть также на</w:t>
            </w:r>
            <w:r>
              <w:rPr>
                <w:rFonts w:ascii="Times New Roman" w:hAnsi="Times New Roman" w:eastAsia="Times New Roman" w:cs="Times New Roman"/>
              </w:rPr>
              <w:t xml:space="preserve">правлено лицам, участвующим в деле, посредством единого портала государственных и муниципальных услуг либо системы электронного документооборота участника арбитражного процесса с использованием единой системы межведомственного электронного взаимодействия. 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подпроцесса, результатом которого будет опубликованный в КАД вынесенный СА по делу.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Сходящаяся развилка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Объединение разных потоков шагов в один.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>
          <w:trHeight w:val="950"/>
        </w:trPr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Определить необходимость изготовления копий СА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pStyle w:val="82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В случае, если решение выполнено только на бумажном носителе, арбитражный суд направляет копии решения лицам, участвующим в деле, заказным письмом с уведомлением о вручении или вручает им под расписку.  </w:t>
            </w:r>
            <w:r>
              <w:rPr>
                <w:rFonts w:ascii="Times New Roman" w:hAnsi="Times New Roman" w:eastAsia="Times New Roman" w:cs="Times New Roman"/>
              </w:rPr>
              <w:t xml:space="preserve">Помощник судьи выясняет необходимо ли изготовить копии СА для направления сторонам.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Необходимо изготовить копии?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Необходимо изготовить копии? 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«Да», то переход к шагу 40 процесса. 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«Нет», то переход к шагу 42 процесса.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Копии СА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35" w:tooltip="https://itpm-wiki.mos.ru/pages/viewpage.action?pageId=487496905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ТБП50.Изготовить копии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подпроцесса, результатом которого будет изготовленные и заверенные надлежащим образом копии СА в соответствии с требованиями Инструкции по делопроизводству.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Судебный акт принят. Изготовлены копии СА (Конечное событие)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Завершение процесса принятия 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Судебный акт принят. Изготовление копий не требуется. (Конечное событие)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Завершение процесса принятия СА.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  <w:color w:val="000000" w:themeColor="text1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 w:themeColor="text1"/>
                <w:sz w:val="24"/>
              </w:rPr>
              <w:t xml:space="preserve"> </w:t>
            </w:r>
            <w:r>
              <w:rPr>
                <w:b/>
                <w:bCs/>
                <w:i/>
                <w:color w:val="000000" w:themeColor="text1"/>
              </w:rPr>
            </w:r>
            <w:r>
              <w:rPr>
                <w:b/>
                <w:bCs/>
                <w:i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  <w:color w:val="000000" w:themeColor="text1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 w:themeColor="text1"/>
                <w:sz w:val="24"/>
              </w:rPr>
              <w:t xml:space="preserve"> </w:t>
            </w:r>
            <w:r>
              <w:rPr>
                <w:b/>
                <w:bCs/>
                <w:i/>
                <w:color w:val="000000" w:themeColor="text1"/>
              </w:rPr>
            </w:r>
            <w:r>
              <w:rPr>
                <w:b/>
                <w:bCs/>
                <w:i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  <w:color w:val="000000" w:themeColor="text1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 w:themeColor="text1"/>
                <w:sz w:val="24"/>
              </w:rPr>
              <w:t xml:space="preserve"> </w:t>
            </w:r>
            <w:r>
              <w:rPr>
                <w:b/>
                <w:bCs/>
                <w:i/>
                <w:color w:val="000000" w:themeColor="text1"/>
              </w:rPr>
            </w:r>
            <w:r>
              <w:rPr>
                <w:b/>
                <w:bCs/>
                <w:i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  <w:color w:val="000000" w:themeColor="text1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 w:themeColor="text1"/>
                <w:sz w:val="24"/>
              </w:rPr>
              <w:t xml:space="preserve"> </w:t>
            </w:r>
            <w:r>
              <w:rPr>
                <w:b/>
                <w:bCs/>
                <w:i/>
                <w:color w:val="000000" w:themeColor="text1"/>
              </w:rPr>
            </w:r>
            <w:r>
              <w:rPr>
                <w:b/>
                <w:bCs/>
                <w:i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  <w:color w:val="000000" w:themeColor="text1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 w:themeColor="text1"/>
                <w:sz w:val="24"/>
              </w:rPr>
              <w:t xml:space="preserve">(Событийный подпроцесс)</w:t>
            </w:r>
            <w:r>
              <w:rPr>
                <w:b/>
                <w:bCs/>
                <w:i/>
                <w:color w:val="000000" w:themeColor="text1"/>
              </w:rPr>
            </w:r>
            <w:r>
              <w:rPr>
                <w:b/>
                <w:bCs/>
                <w:i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  <w:color w:val="000000" w:themeColor="text1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 w:themeColor="text1"/>
                <w:sz w:val="24"/>
              </w:rPr>
              <w:t xml:space="preserve"> </w:t>
            </w:r>
            <w:r>
              <w:rPr>
                <w:b/>
                <w:bCs/>
                <w:i/>
                <w:color w:val="000000" w:themeColor="text1"/>
              </w:rPr>
            </w:r>
            <w:r>
              <w:rPr>
                <w:b/>
                <w:bCs/>
                <w:i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Необходимо направить оригинал принятого СА в вышестоящий суд (Стартовое событие)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</w:rPr>
              <w:t xml:space="preserve">На момент вынесения мотивированной части СА дело может находиться в суде вышестоящей инстанции и тогда оригинал такого СА подлежит досылке в суд вышестоящей инстанции.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Процесс стартует, если необходимо направить вынесенный СА в вышестоящий суд.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Принятый СА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36" w:tooltip="https://itpm-wiki.mos.ru/pages/viewpage.action?pageId=487496896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ТБП46.Направить документ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ти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пового подпроцесса в котором помощник судьи направляет вынесенный оригинал мотивированного СА в суд вышестоящей инстанции, в который ранее было направлено дело для рассмотрения жалобы. Результатом будет направленный оригинал СА в суд вышестоящей инстанции.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Помощник судьи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Оригинал  СА направлен в вышестоящий суд, куда ранее было направлено дело. (Конечное событие)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Завершение событийного подпроцесса.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(Конец событийного подпроцесса)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(Событийный подпроцесс)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Поступило заявление об исправлении описок/опечаток (Стартовое событие)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Процесс стартует тогда, когда от стороны поступило заявление об исправлении описок/опечаток в вынесенном 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37" w:tooltip="https://itpm-wiki.mos.ru/pages/viewpage.action?pageId=487496907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ТБП52:Рассмотреть вопрос об исправлении ошибок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вызов ТБП52.Рассмотреть вопрос об исправлении ошибок. В рамках ТБП судья рассматривает заявление об исправлении описок/опечаток по правилам, закрепленным в ст. 179 АПК РФ. Срок для рассмотрения - 10 дней со дня поступления заявления (п. 4 ст. 179 АПК РФ).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Проект определения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38" w:tooltip="https://itpm-wiki.mos.ru/pages/viewpage.action?pageId=487497486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ТБП84.Сформировать проект СА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подпроцесса в ходе которого судья формирует проект определения об исправлении описок, опечаток или арифметических ошибок в судебном акте на основании поступившего от стороны заявления. Результатом будет проект определения.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49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cs="Times New Roman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</w:rPr>
            </w:r>
            <w:r>
              <w:rPr>
                <w:rFonts w:ascii="Times New Roman" w:hAnsi="Times New Roman" w:eastAsia="Times New Roman" w:cs="Times New Roman"/>
              </w:rPr>
              <w:t xml:space="preserve">Определить будет ли определение подписано УКЭП</w:t>
            </w:r>
            <w:r>
              <w:rPr>
                <w:rFonts w:ascii="Times New Roman" w:hAnsi="Times New Roman" w:eastAsia="Times New Roman" w:cs="Times New Roman"/>
              </w:rPr>
              <w:t xml:space="preserve"> (Ручная задача)</w:t>
            </w:r>
            <w:r>
              <w:rPr>
                <w:rFonts w:ascii="Times New Roman" w:hAnsi="Times New Roman" w:eastAsia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принимает решение о подписании определения с использование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 усиленн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ой квалифицированной электронной подписи в специальной внешней программе в случае, если определение будет изготовлено в электронной форме. Если определение будет только на бумажном носителе, то судья будет подписывать его только в САС для целей публикации.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Требуется подписать УКЭП?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Требуется подписать УКЭП?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br/>
              <w:t xml:space="preserve">Если "Да" – переход к шагу 52</w:t>
              <w:br/>
              <w:t xml:space="preserve">Если "Нет" – переход к шагу 51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Подписать ПЭП в САС (Пользовательская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подписывает сформированный проект определения в системе ПК САД.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Подписать УКЭП (Пользовательская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подписывает сформированный проект определения УКЭП в специальной программе, которая не является частью ПК САД.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Сходящаяся развилка (Развилка «ИЛИ/ИЛИ»)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Объединение разных потоков шагов в один.</w:t>
            </w:r>
            <w:r/>
          </w:p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Распечатать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осуществляет вывод текста подготовленного проекта определения на бумажный носитель с использованием печатающего устройства.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Определение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Подписать определение (Ручная задача)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 проставляет собственноручную подпись на бумажном экземпляре определения, удостоверяя факт его вынесения и соответствие закону.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39" w:tooltip="https://itpm-wiki.mos.ru/pages/viewpage.action?pageId=487496869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ТБП29.Опубликовать СА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подпроцесса, в котором происходит опубликование вынесенного определения.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Копии определения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40" w:tooltip="https://itpm-wiki.mos.ru/pages/viewpage.action?pageId=487496905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ТБП50.Изготовить копии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подпроцесса, результатом которого будет изготовленные и заверенные надлежащим образом копии СА в соответствии с требованиями Инструкции по делопроизводству.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41" w:tooltip="https://itpm-wiki.mos.ru/pages/viewpage.action?pageId=487496896" w:history="1">
              <w:r>
                <w:rPr>
                  <w:rStyle w:val="833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ТБП46.Направить документ (Вызов подпроцесса)</w:t>
              </w:r>
            </w:hyperlink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Происходит вызов подпроцесса в котором происходит направление сторонам вынесенного определения об исправлении описок, опечаток, арифметических ошибок.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Вынесено определение по вопросу об исправлении описок, опечаток, арифметических ошибок (Конечное событие)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Завершение событийного подпроцесса.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52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4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941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827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478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(Конец событийного подпроцесса)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045" w:type="dxa"/>
            <w:vAlign w:val="top"/>
            <w:textDirection w:val="lrTb"/>
            <w:noWrap w:val="false"/>
          </w:tcPr>
          <w:p>
            <w:pPr>
              <w:ind w:left="0" w:right="0" w:firstLine="0"/>
              <w:shd w:val="clear" w:color="d9d9d9" w:themeColor="background1" w:themeShade="D9" w:fill="d9d9d9" w:themeFill="background1" w:themeFillShade="D9"/>
              <w:rPr>
                <w:b/>
                <w:bCs/>
                <w:i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</w:rPr>
              <w:t xml:space="preserve"> </w:t>
            </w:r>
            <w:r>
              <w:rPr>
                <w:b/>
                <w:bCs/>
                <w:i/>
              </w:rPr>
            </w:r>
            <w:r>
              <w:rPr>
                <w:b/>
                <w:bCs/>
                <w:i/>
              </w:rPr>
            </w:r>
          </w:p>
        </w:tc>
      </w:tr>
    </w:tbl>
    <w:p>
      <w:pPr>
        <w:pStyle w:val="84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29"/>
      </w:pPr>
      <w:r/>
      <w:r/>
    </w:p>
    <w:sectPr>
      <w:footnotePr/>
      <w:endnotePr/>
      <w:type w:val="nextPage"/>
      <w:pgSz w:w="25914" w:h="17280" w:orient="landscape"/>
      <w:pgMar w:top="1134" w:right="2103" w:bottom="1134" w:left="1134" w:header="0" w:footer="0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Microsoft YaHei">
    <w:panose1 w:val="020B0603020202020204"/>
  </w:font>
  <w:font w:name="Wingdings">
    <w:panose1 w:val="05010000000000000000"/>
  </w:font>
  <w:font w:name="Liberation Sans">
    <w:panose1 w:val="020B0604020202020204"/>
  </w:font>
  <w:font w:name="NSimSun">
    <w:panose1 w:val="02020603020101020101"/>
  </w:font>
  <w:font w:name="Arial">
    <w:panose1 w:val="020B0604020202020204"/>
  </w:font>
  <w:font w:name="Liberation Serif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SimSun" w:cs="Arial"/>
        <w:sz w:val="24"/>
        <w:szCs w:val="24"/>
        <w:lang w:val="ru-RU" w:eastAsia="zh-CN" w:bidi="hi-IN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29"/>
    <w:next w:val="829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character" w:styleId="658">
    <w:name w:val="Heading 2 Char"/>
    <w:basedOn w:val="832"/>
    <w:link w:val="830"/>
    <w:uiPriority w:val="9"/>
    <w:rPr>
      <w:rFonts w:ascii="Arial" w:hAnsi="Arial" w:eastAsia="Arial" w:cs="Arial"/>
      <w:sz w:val="34"/>
    </w:rPr>
  </w:style>
  <w:style w:type="character" w:styleId="659">
    <w:name w:val="Heading 3 Char"/>
    <w:basedOn w:val="832"/>
    <w:link w:val="831"/>
    <w:uiPriority w:val="9"/>
    <w:rPr>
      <w:rFonts w:ascii="Arial" w:hAnsi="Arial" w:eastAsia="Arial" w:cs="Arial"/>
      <w:sz w:val="30"/>
      <w:szCs w:val="30"/>
    </w:rPr>
  </w:style>
  <w:style w:type="paragraph" w:styleId="660">
    <w:name w:val="Heading 4"/>
    <w:basedOn w:val="829"/>
    <w:next w:val="829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1">
    <w:name w:val="Heading 4 Char"/>
    <w:basedOn w:val="832"/>
    <w:link w:val="660"/>
    <w:uiPriority w:val="9"/>
    <w:rPr>
      <w:rFonts w:ascii="Arial" w:hAnsi="Arial" w:eastAsia="Arial" w:cs="Arial"/>
      <w:b/>
      <w:bCs/>
      <w:sz w:val="26"/>
      <w:szCs w:val="26"/>
    </w:rPr>
  </w:style>
  <w:style w:type="paragraph" w:styleId="662">
    <w:name w:val="Heading 5"/>
    <w:basedOn w:val="829"/>
    <w:next w:val="829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3">
    <w:name w:val="Heading 5 Char"/>
    <w:basedOn w:val="832"/>
    <w:link w:val="662"/>
    <w:uiPriority w:val="9"/>
    <w:rPr>
      <w:rFonts w:ascii="Arial" w:hAnsi="Arial" w:eastAsia="Arial" w:cs="Arial"/>
      <w:b/>
      <w:bCs/>
      <w:sz w:val="24"/>
      <w:szCs w:val="24"/>
    </w:rPr>
  </w:style>
  <w:style w:type="paragraph" w:styleId="664">
    <w:name w:val="Heading 6"/>
    <w:basedOn w:val="829"/>
    <w:next w:val="829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5">
    <w:name w:val="Heading 6 Char"/>
    <w:basedOn w:val="832"/>
    <w:link w:val="664"/>
    <w:uiPriority w:val="9"/>
    <w:rPr>
      <w:rFonts w:ascii="Arial" w:hAnsi="Arial" w:eastAsia="Arial" w:cs="Arial"/>
      <w:b/>
      <w:bCs/>
      <w:sz w:val="22"/>
      <w:szCs w:val="22"/>
    </w:rPr>
  </w:style>
  <w:style w:type="paragraph" w:styleId="666">
    <w:name w:val="Heading 7"/>
    <w:basedOn w:val="829"/>
    <w:next w:val="829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7">
    <w:name w:val="Heading 7 Char"/>
    <w:basedOn w:val="832"/>
    <w:link w:val="66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8">
    <w:name w:val="Heading 8"/>
    <w:basedOn w:val="829"/>
    <w:next w:val="829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9">
    <w:name w:val="Heading 8 Char"/>
    <w:basedOn w:val="832"/>
    <w:link w:val="668"/>
    <w:uiPriority w:val="9"/>
    <w:rPr>
      <w:rFonts w:ascii="Arial" w:hAnsi="Arial" w:eastAsia="Arial" w:cs="Arial"/>
      <w:i/>
      <w:iCs/>
      <w:sz w:val="22"/>
      <w:szCs w:val="22"/>
    </w:rPr>
  </w:style>
  <w:style w:type="paragraph" w:styleId="670">
    <w:name w:val="Heading 9"/>
    <w:basedOn w:val="829"/>
    <w:next w:val="829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1">
    <w:name w:val="Heading 9 Char"/>
    <w:basedOn w:val="832"/>
    <w:link w:val="670"/>
    <w:uiPriority w:val="9"/>
    <w:rPr>
      <w:rFonts w:ascii="Arial" w:hAnsi="Arial" w:eastAsia="Arial" w:cs="Arial"/>
      <w:i/>
      <w:iCs/>
      <w:sz w:val="21"/>
      <w:szCs w:val="21"/>
    </w:rPr>
  </w:style>
  <w:style w:type="paragraph" w:styleId="672">
    <w:name w:val="List Paragraph"/>
    <w:basedOn w:val="829"/>
    <w:uiPriority w:val="34"/>
    <w:qFormat/>
    <w:pPr>
      <w:contextualSpacing/>
      <w:ind w:left="720"/>
    </w:pPr>
  </w:style>
  <w:style w:type="paragraph" w:styleId="673">
    <w:name w:val="No Spacing"/>
    <w:uiPriority w:val="1"/>
    <w:qFormat/>
    <w:pPr>
      <w:spacing w:before="0" w:after="0" w:line="240" w:lineRule="auto"/>
    </w:pPr>
  </w:style>
  <w:style w:type="character" w:styleId="674">
    <w:name w:val="Title Char"/>
    <w:basedOn w:val="832"/>
    <w:link w:val="844"/>
    <w:uiPriority w:val="10"/>
    <w:rPr>
      <w:sz w:val="48"/>
      <w:szCs w:val="48"/>
    </w:rPr>
  </w:style>
  <w:style w:type="paragraph" w:styleId="675">
    <w:name w:val="Subtitle"/>
    <w:basedOn w:val="829"/>
    <w:next w:val="829"/>
    <w:link w:val="676"/>
    <w:uiPriority w:val="11"/>
    <w:qFormat/>
    <w:pPr>
      <w:spacing w:before="200" w:after="200"/>
    </w:pPr>
    <w:rPr>
      <w:sz w:val="24"/>
      <w:szCs w:val="24"/>
    </w:rPr>
  </w:style>
  <w:style w:type="character" w:styleId="676">
    <w:name w:val="Subtitle Char"/>
    <w:basedOn w:val="832"/>
    <w:link w:val="675"/>
    <w:uiPriority w:val="11"/>
    <w:rPr>
      <w:sz w:val="24"/>
      <w:szCs w:val="24"/>
    </w:rPr>
  </w:style>
  <w:style w:type="paragraph" w:styleId="677">
    <w:name w:val="Quote"/>
    <w:basedOn w:val="829"/>
    <w:next w:val="829"/>
    <w:link w:val="678"/>
    <w:uiPriority w:val="29"/>
    <w:qFormat/>
    <w:pPr>
      <w:ind w:left="720" w:right="720"/>
    </w:pPr>
    <w:rPr>
      <w:i/>
    </w:rPr>
  </w:style>
  <w:style w:type="character" w:styleId="678">
    <w:name w:val="Quote Char"/>
    <w:link w:val="677"/>
    <w:uiPriority w:val="29"/>
    <w:rPr>
      <w:i/>
    </w:rPr>
  </w:style>
  <w:style w:type="paragraph" w:styleId="679">
    <w:name w:val="Intense Quote"/>
    <w:basedOn w:val="829"/>
    <w:next w:val="829"/>
    <w:link w:val="680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0">
    <w:name w:val="Intense Quote Char"/>
    <w:link w:val="679"/>
    <w:uiPriority w:val="30"/>
    <w:rPr>
      <w:i/>
    </w:rPr>
  </w:style>
  <w:style w:type="paragraph" w:styleId="681">
    <w:name w:val="Header"/>
    <w:basedOn w:val="829"/>
    <w:link w:val="682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2">
    <w:name w:val="Header Char"/>
    <w:basedOn w:val="832"/>
    <w:link w:val="681"/>
    <w:uiPriority w:val="99"/>
  </w:style>
  <w:style w:type="paragraph" w:styleId="683">
    <w:name w:val="Footer"/>
    <w:basedOn w:val="829"/>
    <w:link w:val="68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4">
    <w:name w:val="Footer Char"/>
    <w:basedOn w:val="832"/>
    <w:link w:val="683"/>
    <w:uiPriority w:val="99"/>
  </w:style>
  <w:style w:type="character" w:styleId="685">
    <w:name w:val="Caption Char"/>
    <w:basedOn w:val="842"/>
    <w:link w:val="683"/>
    <w:uiPriority w:val="99"/>
  </w:style>
  <w:style w:type="table" w:styleId="686">
    <w:name w:val="Table Grid"/>
    <w:basedOn w:val="85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Table Grid Light"/>
    <w:basedOn w:val="85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Plain Table 1"/>
    <w:basedOn w:val="85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2"/>
    <w:basedOn w:val="85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1">
    <w:name w:val="Plain Table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Plain Table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3">
    <w:name w:val="Grid Table 1 Light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c3fdba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c3fdba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bce7fd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bce7fd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fdd2ba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fdd2ba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3bafd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3bafd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fefbf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fefbf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7cccc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7cccc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c3fdba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c3fdba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bce7fd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bce7fd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fdd2ba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fdd2ba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3bafd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3bafd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fefbf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fefbf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7cccc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7cccc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4"/>
    <w:basedOn w:val="85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5">
    <w:name w:val="Grid Table 4 - Accent 1"/>
    <w:basedOn w:val="85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c5fdbc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c5fdbc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1ebe03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6">
    <w:name w:val="Grid Table 4 - Accent 2"/>
    <w:basedOn w:val="85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bce7fd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bce7fd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36b8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7">
    <w:name w:val="Grid Table 4 - Accent 3"/>
    <w:basedOn w:val="85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fdd2ba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fdd2ba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43c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8">
    <w:name w:val="Grid Table 4 - Accent 4"/>
    <w:basedOn w:val="85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3bafd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3bafd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dc33fa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9">
    <w:name w:val="Grid Table 4 - Accent 5"/>
    <w:basedOn w:val="85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fefbf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fefbf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0">
    <w:name w:val="Grid Table 4 - Accent 6"/>
    <w:basedOn w:val="85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7cccc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7cccc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1">
    <w:name w:val="Grid Table 5 Dark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2">
    <w:name w:val="Grid Table 5 Dark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dba" w:themeFill="accent1" w:themeFillTint="34"/>
    </w:tblPr>
    <w:tblStylePr w:type="band1Horz">
      <w:tcPr>
        <w:shd w:val="clear" w:color="ffffff" w:themeColor="accent1" w:themeTint="75" w:fill="79fb64" w:themeFill="accent1" w:themeFillTint="75"/>
      </w:tcPr>
    </w:tblStylePr>
    <w:tblStylePr w:type="band1Vert">
      <w:tcPr>
        <w:shd w:val="clear" w:color="ffffff" w:themeColor="accent1" w:themeTint="75" w:fill="79fb64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18a303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8a303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18a303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ce7fd" w:themeFill="accent2" w:themeFillTint="32"/>
    </w:tblPr>
    <w:tblStylePr w:type="band1Horz">
      <w:tcPr>
        <w:shd w:val="clear" w:color="ffffff" w:themeColor="accent2" w:themeTint="75" w:fill="64c8fb" w:themeFill="accent2" w:themeFillTint="75"/>
      </w:tcPr>
    </w:tblStylePr>
    <w:tblStylePr w:type="band1Vert">
      <w:tcPr>
        <w:shd w:val="clear" w:color="ffffff" w:themeColor="accent2" w:themeTint="75" w:fill="64c8fb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0369a3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0369a3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0369a3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dd2ba" w:themeFill="accent3" w:themeFillTint="34"/>
    </w:tblPr>
    <w:tblStylePr w:type="band1Horz">
      <w:tcPr>
        <w:shd w:val="clear" w:color="ffffff" w:themeColor="accent3" w:themeTint="75" w:fill="fb9964" w:themeFill="accent3" w:themeFillTint="75"/>
      </w:tcPr>
    </w:tblStylePr>
    <w:tblStylePr w:type="band1Vert">
      <w:tcPr>
        <w:shd w:val="clear" w:color="ffffff" w:themeColor="accent3" w:themeTint="75" w:fill="fb9964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33e03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33e03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33e03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</w:style>
  <w:style w:type="table" w:styleId="725">
    <w:name w:val="Grid Table 5 Dark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3bafd" w:themeFill="accent4" w:themeFillTint="34"/>
    </w:tblPr>
    <w:tblStylePr w:type="band1Horz">
      <w:tcPr>
        <w:shd w:val="clear" w:color="ffffff" w:themeColor="accent4" w:themeTint="75" w:fill="e464fb" w:themeFill="accent4" w:themeFillTint="75"/>
      </w:tcPr>
    </w:tblStylePr>
    <w:tblStylePr w:type="band1Vert">
      <w:tcPr>
        <w:shd w:val="clear" w:color="ffffff" w:themeColor="accent4" w:themeTint="75" w:fill="e464fb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e03a3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e03a3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e03a3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efbf" w:themeFill="accent5" w:themeFillTint="34"/>
    </w:tblPr>
    <w:tblStylePr w:type="band1Horz">
      <w:tcPr>
        <w:shd w:val="clear" w:color="ffffff" w:themeColor="accent5" w:themeTint="75" w:fill="ffdb71" w:themeFill="accent5" w:themeFillTint="75"/>
      </w:tcPr>
    </w:tblStylePr>
    <w:tblStylePr w:type="band1Vert">
      <w:tcPr>
        <w:shd w:val="clear" w:color="ffffff" w:themeColor="accent5" w:themeTint="75" w:fill="ffdb71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c99c00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c99c00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c99c00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7cccc" w:themeFill="accent6" w:themeFillTint="34"/>
    </w:tblPr>
    <w:tblStylePr w:type="band1Horz">
      <w:tcPr>
        <w:shd w:val="clear" w:color="ffffff" w:themeColor="accent6" w:themeTint="75" w:fill="ee8f8f" w:themeFill="accent6" w:themeFillTint="75"/>
      </w:tcPr>
    </w:tblStylePr>
    <w:tblStylePr w:type="band1Vert">
      <w:tcPr>
        <w:shd w:val="clear" w:color="ffffff" w:themeColor="accent6" w:themeTint="75" w:fill="ee8f8f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c9211e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c9211e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c9211e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</w:style>
  <w:style w:type="table" w:styleId="728">
    <w:name w:val="Grid Table 6 Colorful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9">
    <w:name w:val="Grid Table 6 Colorful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c3fdba" w:themeFill="accent1" w:themeFillTint="34"/>
      </w:tcPr>
    </w:tblStylePr>
    <w:tblStylePr w:type="band1Vert">
      <w:tcPr>
        <w:shd w:val="clear" w:color="ffffff" w:themeColor="accent1" w:themeTint="34" w:fill="c3fdba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1ebf04" w:themeColor="accent1" w:themeTint="80" w:themeShade="95"/>
      </w:rPr>
    </w:tblStylePr>
    <w:tblStylePr w:type="firstRow">
      <w:rPr>
        <w:b/>
        <w:color w:val="1ebf04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ebf04" w:themeColor="accent1" w:themeTint="80" w:themeShade="95"/>
      </w:rPr>
    </w:tblStylePr>
    <w:tblStylePr w:type="lastRow">
      <w:rPr>
        <w:b/>
        <w:color w:val="1ebf04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0">
    <w:name w:val="Grid Table 6 Colorful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bce7fd" w:themeFill="accent2" w:themeFillTint="32"/>
      </w:tcPr>
    </w:tblStylePr>
    <w:tblStylePr w:type="band1Vert">
      <w:tcPr>
        <w:shd w:val="clear" w:color="ffffff" w:themeColor="accent2" w:themeTint="32" w:fill="bce7fd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0378ae" w:themeColor="accent2" w:themeTint="97" w:themeShade="95"/>
      </w:rPr>
    </w:tblStylePr>
    <w:tblStylePr w:type="firstRow">
      <w:rPr>
        <w:b/>
        <w:color w:val="0378ae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8ae" w:themeColor="accent2" w:themeTint="97" w:themeShade="95"/>
      </w:rPr>
    </w:tblStylePr>
    <w:tblStylePr w:type="lastRow">
      <w:rPr>
        <w:b/>
        <w:color w:val="0378ae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1">
    <w:name w:val="Grid Table 6 Colorful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fdd2ba" w:themeFill="accent3" w:themeFillTint="34"/>
      </w:tcPr>
    </w:tblStylePr>
    <w:tblStylePr w:type="band1Vert">
      <w:tcPr>
        <w:shd w:val="clear" w:color="ffffff" w:themeColor="accent3" w:themeTint="34" w:fill="fdd2ba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e2201" w:themeColor="accent3" w:themeTint="FE" w:themeShade="95"/>
      </w:rPr>
    </w:tblStylePr>
    <w:tblStylePr w:type="firstRow">
      <w:rPr>
        <w:b/>
        <w:color w:val="5e2201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e2201" w:themeColor="accent3" w:themeTint="FE" w:themeShade="95"/>
      </w:rPr>
    </w:tblStylePr>
    <w:tblStylePr w:type="lastRow">
      <w:rPr>
        <w:b/>
        <w:color w:val="5e2201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2">
    <w:name w:val="Grid Table 6 Colorful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3bafd" w:themeFill="accent4" w:themeFillTint="34"/>
      </w:tcPr>
    </w:tblStylePr>
    <w:tblStylePr w:type="band1Vert">
      <w:tcPr>
        <w:shd w:val="clear" w:color="ffffff" w:themeColor="accent4" w:themeTint="34" w:fill="f3bafd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9104ab" w:themeColor="accent4" w:themeTint="9A" w:themeShade="95"/>
      </w:rPr>
    </w:tblStylePr>
    <w:tblStylePr w:type="firstRow">
      <w:rPr>
        <w:b/>
        <w:color w:val="9104ab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104ab" w:themeColor="accent4" w:themeTint="9A" w:themeShade="95"/>
      </w:rPr>
    </w:tblStylePr>
    <w:tblStylePr w:type="lastRow">
      <w:rPr>
        <w:b/>
        <w:color w:val="9104ab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3">
    <w:name w:val="Grid Table 6 Colorful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ffefbf" w:themeFill="accent5" w:themeFillTint="34"/>
      </w:tcPr>
    </w:tblStylePr>
    <w:tblStylePr w:type="band1Vert">
      <w:tcPr>
        <w:shd w:val="clear" w:color="ffffff" w:themeColor="accent5" w:themeTint="34" w:fill="ffefbf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745700" w:themeColor="accent5" w:themeShade="95"/>
      </w:rPr>
    </w:tblStylePr>
    <w:tblStylePr w:type="firstRow">
      <w:rPr>
        <w:b/>
        <w:color w:val="745700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45700" w:themeColor="accent5" w:themeShade="95"/>
      </w:rPr>
    </w:tblStylePr>
    <w:tblStylePr w:type="lastRow">
      <w:rPr>
        <w:b/>
        <w:color w:val="745700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4">
    <w:name w:val="Grid Table 6 Colorful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7cccc" w:themeFill="accent6" w:themeFillTint="34"/>
      </w:tcPr>
    </w:tblStylePr>
    <w:tblStylePr w:type="band1Vert">
      <w:tcPr>
        <w:shd w:val="clear" w:color="ffffff" w:themeColor="accent6" w:themeTint="34" w:fill="f7cccc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745700" w:themeColor="accent5" w:themeShade="95"/>
      </w:rPr>
    </w:tblStylePr>
    <w:tblStylePr w:type="firstRow">
      <w:rPr>
        <w:b/>
        <w:color w:val="745700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45700" w:themeColor="accent5" w:themeShade="95"/>
      </w:rPr>
    </w:tblStylePr>
    <w:tblStylePr w:type="lastRow">
      <w:rPr>
        <w:b/>
        <w:color w:val="745700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7 Colorful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1ebf04" w:themeColor="accent1" w:themeTint="80" w:themeShade="95"/>
        <w:sz w:val="22"/>
      </w:rPr>
      <w:tcPr>
        <w:shd w:val="clear" w:color="ffffff" w:themeColor="accent1" w:themeTint="34" w:fill="c3fdba" w:themeFill="accent1" w:themeFillTint="34"/>
      </w:tcPr>
    </w:tblStylePr>
    <w:tblStylePr w:type="band1Vert">
      <w:tcPr>
        <w:shd w:val="clear" w:color="ffffff" w:themeColor="accent1" w:themeTint="34" w:fill="c3fdba" w:themeFill="accent1" w:themeFillTint="34"/>
      </w:tcPr>
    </w:tblStylePr>
    <w:tblStylePr w:type="band2Horz">
      <w:rPr>
        <w:rFonts w:ascii="Arial" w:hAnsi="Arial"/>
        <w:color w:val="1ebf04" w:themeColor="accent1" w:themeTint="80" w:themeShade="95"/>
        <w:sz w:val="22"/>
      </w:rPr>
    </w:tblStylePr>
    <w:tblStylePr w:type="firstCol">
      <w:rPr>
        <w:rFonts w:ascii="Arial" w:hAnsi="Arial"/>
        <w:i/>
        <w:color w:val="1ebf04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ebf04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ebf04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ebf04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0378ae" w:themeColor="accent2" w:themeTint="97" w:themeShade="95"/>
        <w:sz w:val="22"/>
      </w:rPr>
      <w:tcPr>
        <w:shd w:val="clear" w:color="ffffff" w:themeColor="accent2" w:themeTint="32" w:fill="bce7fd" w:themeFill="accent2" w:themeFillTint="32"/>
      </w:tcPr>
    </w:tblStylePr>
    <w:tblStylePr w:type="band1Vert">
      <w:tcPr>
        <w:shd w:val="clear" w:color="ffffff" w:themeColor="accent2" w:themeTint="32" w:fill="bce7fd" w:themeFill="accent2" w:themeFillTint="32"/>
      </w:tcPr>
    </w:tblStylePr>
    <w:tblStylePr w:type="band2Horz">
      <w:rPr>
        <w:rFonts w:ascii="Arial" w:hAnsi="Arial"/>
        <w:color w:val="0378ae" w:themeColor="accent2" w:themeTint="97" w:themeShade="95"/>
        <w:sz w:val="22"/>
      </w:rPr>
    </w:tblStylePr>
    <w:tblStylePr w:type="firstCol">
      <w:rPr>
        <w:rFonts w:ascii="Arial" w:hAnsi="Arial"/>
        <w:i/>
        <w:color w:val="0378ae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8ae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8ae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8ae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e2201" w:themeColor="accent3" w:themeTint="FE" w:themeShade="95"/>
        <w:sz w:val="22"/>
      </w:rPr>
      <w:tcPr>
        <w:shd w:val="clear" w:color="ffffff" w:themeColor="accent3" w:themeTint="34" w:fill="fdd2ba" w:themeFill="accent3" w:themeFillTint="34"/>
      </w:tcPr>
    </w:tblStylePr>
    <w:tblStylePr w:type="band1Vert">
      <w:tcPr>
        <w:shd w:val="clear" w:color="ffffff" w:themeColor="accent3" w:themeTint="34" w:fill="fdd2ba" w:themeFill="accent3" w:themeFillTint="34"/>
      </w:tcPr>
    </w:tblStylePr>
    <w:tblStylePr w:type="band2Horz">
      <w:rPr>
        <w:rFonts w:ascii="Arial" w:hAnsi="Arial"/>
        <w:color w:val="5e2201" w:themeColor="accent3" w:themeTint="FE" w:themeShade="95"/>
        <w:sz w:val="22"/>
      </w:rPr>
    </w:tblStylePr>
    <w:tblStylePr w:type="firstCol">
      <w:rPr>
        <w:rFonts w:ascii="Arial" w:hAnsi="Arial"/>
        <w:i/>
        <w:color w:val="5e2201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e2201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2201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e2201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9104ab" w:themeColor="accent4" w:themeTint="9A" w:themeShade="95"/>
        <w:sz w:val="22"/>
      </w:rPr>
      <w:tcPr>
        <w:shd w:val="clear" w:color="ffffff" w:themeColor="accent4" w:themeTint="34" w:fill="f3bafd" w:themeFill="accent4" w:themeFillTint="34"/>
      </w:tcPr>
    </w:tblStylePr>
    <w:tblStylePr w:type="band1Vert">
      <w:tcPr>
        <w:shd w:val="clear" w:color="ffffff" w:themeColor="accent4" w:themeTint="34" w:fill="f3bafd" w:themeFill="accent4" w:themeFillTint="34"/>
      </w:tcPr>
    </w:tblStylePr>
    <w:tblStylePr w:type="band2Horz">
      <w:rPr>
        <w:rFonts w:ascii="Arial" w:hAnsi="Arial"/>
        <w:color w:val="9104ab" w:themeColor="accent4" w:themeTint="9A" w:themeShade="95"/>
        <w:sz w:val="22"/>
      </w:rPr>
    </w:tblStylePr>
    <w:tblStylePr w:type="firstCol">
      <w:rPr>
        <w:rFonts w:ascii="Arial" w:hAnsi="Arial"/>
        <w:i/>
        <w:color w:val="9104ab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104ab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104ab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104ab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745700" w:themeColor="accent5" w:themeShade="95"/>
        <w:sz w:val="22"/>
      </w:rPr>
      <w:tcPr>
        <w:shd w:val="clear" w:color="ffffff" w:themeColor="accent5" w:themeTint="34" w:fill="ffefbf" w:themeFill="accent5" w:themeFillTint="34"/>
      </w:tcPr>
    </w:tblStylePr>
    <w:tblStylePr w:type="band1Vert">
      <w:tcPr>
        <w:shd w:val="clear" w:color="ffffff" w:themeColor="accent5" w:themeTint="34" w:fill="ffefbf" w:themeFill="accent5" w:themeFillTint="34"/>
      </w:tcPr>
    </w:tblStylePr>
    <w:tblStylePr w:type="band2Horz">
      <w:rPr>
        <w:rFonts w:ascii="Arial" w:hAnsi="Arial"/>
        <w:color w:val="745700" w:themeColor="accent5" w:themeShade="95"/>
        <w:sz w:val="22"/>
      </w:rPr>
    </w:tblStylePr>
    <w:tblStylePr w:type="firstCol">
      <w:rPr>
        <w:rFonts w:ascii="Arial" w:hAnsi="Arial"/>
        <w:i/>
        <w:color w:val="745700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45700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45700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45700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741111" w:themeColor="accent6" w:themeShade="95"/>
        <w:sz w:val="22"/>
      </w:rPr>
      <w:tcPr>
        <w:shd w:val="clear" w:color="ffffff" w:themeColor="accent6" w:themeTint="34" w:fill="f7cccc" w:themeFill="accent6" w:themeFillTint="34"/>
      </w:tcPr>
    </w:tblStylePr>
    <w:tblStylePr w:type="band1Vert">
      <w:tcPr>
        <w:shd w:val="clear" w:color="ffffff" w:themeColor="accent6" w:themeTint="34" w:fill="f7cccc" w:themeFill="accent6" w:themeFillTint="34"/>
      </w:tcPr>
    </w:tblStylePr>
    <w:tblStylePr w:type="band2Horz">
      <w:rPr>
        <w:rFonts w:ascii="Arial" w:hAnsi="Arial"/>
        <w:color w:val="741111" w:themeColor="accent6" w:themeShade="95"/>
        <w:sz w:val="22"/>
      </w:rPr>
    </w:tblStylePr>
    <w:tblStylePr w:type="firstCol">
      <w:rPr>
        <w:rFonts w:ascii="Arial" w:hAnsi="Arial"/>
        <w:i/>
        <w:color w:val="741111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41111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41111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41111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b6fdaa" w:themeFill="accent1" w:themeFillTint="40"/>
      </w:tcPr>
    </w:tblStylePr>
    <w:tblStylePr w:type="band1Vert">
      <w:tcPr>
        <w:shd w:val="clear" w:color="ffffff" w:themeColor="accent1" w:themeTint="40" w:fill="b6fdaa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aae1fd" w:themeFill="accent2" w:themeFillTint="40"/>
      </w:tcPr>
    </w:tblStylePr>
    <w:tblStylePr w:type="band1Vert">
      <w:tcPr>
        <w:shd w:val="clear" w:color="ffffff" w:themeColor="accent2" w:themeTint="40" w:fill="aae1fd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fdc7aa" w:themeFill="accent3" w:themeFillTint="40"/>
      </w:tcPr>
    </w:tblStylePr>
    <w:tblStylePr w:type="band1Vert">
      <w:tcPr>
        <w:shd w:val="clear" w:color="ffffff" w:themeColor="accent3" w:themeTint="40" w:fill="fdc7aa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0aafd" w:themeFill="accent4" w:themeFillTint="40"/>
      </w:tcPr>
    </w:tblStylePr>
    <w:tblStylePr w:type="band1Vert">
      <w:tcPr>
        <w:shd w:val="clear" w:color="ffffff" w:themeColor="accent4" w:themeTint="40" w:fill="f0aafd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ffebb1" w:themeFill="accent5" w:themeFillTint="40"/>
      </w:tcPr>
    </w:tblStylePr>
    <w:tblStylePr w:type="band1Vert">
      <w:tcPr>
        <w:shd w:val="clear" w:color="ffffff" w:themeColor="accent5" w:themeTint="40" w:fill="ffebb1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5c2c2" w:themeFill="accent6" w:themeFillTint="40"/>
      </w:tcPr>
    </w:tblStylePr>
    <w:tblStylePr w:type="band1Vert">
      <w:tcPr>
        <w:shd w:val="clear" w:color="ffffff" w:themeColor="accent6" w:themeTint="40" w:fill="f5c2c2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0">
    <w:name w:val="List Table 2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6fdaa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6fdaa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1">
    <w:name w:val="List Table 2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aae1fd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aae1fd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2">
    <w:name w:val="List Table 2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fdc7aa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fdc7aa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3">
    <w:name w:val="List Table 2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0aafd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0aafd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4">
    <w:name w:val="List Table 2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ffebb1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ffebb1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5">
    <w:name w:val="List Table 2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5c2c2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5c2c2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6">
    <w:name w:val="List Table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8a303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36b8fb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fa7a35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dc33fa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ffd042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e96e6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6fdaa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6fdaa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8a303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aae1fd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aae1fd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0369a3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fdc7aa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fdc7aa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33e03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0aafd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0aafd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e03a3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ffebb1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ffebb1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c99c00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5c2c2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5c2c2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c9211e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5 Dark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blStylePr w:type="band1Horz"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6b8fb" w:themeFill="accent2" w:themeFillTint="97"/>
    </w:tblPr>
    <w:tblStylePr w:type="band1Horz">
      <w:tcPr>
        <w:shd w:val="clear" w:color="ffffff" w:themeColor="accent2" w:themeTint="97" w:fill="36b8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36b8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36b8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36b8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a7a35" w:themeFill="accent3" w:themeFillTint="98"/>
    </w:tblPr>
    <w:tblStylePr w:type="band1Horz">
      <w:tcPr>
        <w:shd w:val="clear" w:color="ffffff" w:themeColor="accent3" w:themeTint="98" w:fill="fa7a35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fa7a35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fa7a35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fa7a35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dc33fa" w:themeFill="accent4" w:themeFillTint="9A"/>
    </w:tblPr>
    <w:tblStylePr w:type="band1Horz">
      <w:tcPr>
        <w:shd w:val="clear" w:color="ffffff" w:themeColor="accent4" w:themeTint="9A" w:fill="dc33fa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dc33fa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dc33fa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dc33fa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042" w:themeFill="accent5" w:themeFillTint="9A"/>
    </w:tblPr>
    <w:tblStylePr w:type="band1Horz">
      <w:tcPr>
        <w:shd w:val="clear" w:color="ffffff" w:themeColor="accent5" w:themeTint="9A" w:fill="ffd042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ffd042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ffd042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ffd042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6e6e" w:themeFill="accent6" w:themeFillTint="98"/>
    </w:tblPr>
    <w:tblStylePr w:type="band1Horz">
      <w:tcPr>
        <w:shd w:val="clear" w:color="ffffff" w:themeColor="accent6" w:themeTint="98" w:fill="e96e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e96e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e96e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e96e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6 Colorful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8">
    <w:name w:val="List Table 6 Colorful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b6fdaa" w:themeFill="accent1" w:themeFillTint="40"/>
      </w:tcPr>
    </w:tblStylePr>
    <w:tblStylePr w:type="band1Vert">
      <w:tcPr>
        <w:shd w:val="clear" w:color="ffffff" w:themeColor="accent1" w:themeTint="40" w:fill="b6fdaa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0e5e01" w:themeColor="accent1" w:themeShade="95"/>
      </w:rPr>
    </w:tblStylePr>
    <w:tblStylePr w:type="firstRow">
      <w:rPr>
        <w:b/>
        <w:color w:val="0e5e0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e01" w:themeColor="accent1" w:themeShade="95"/>
      </w:rPr>
    </w:tblStylePr>
    <w:tblStylePr w:type="lastRow">
      <w:rPr>
        <w:b/>
        <w:color w:val="0e5e0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9">
    <w:name w:val="List Table 6 Colorful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aae1fd" w:themeFill="accent2" w:themeFillTint="40"/>
      </w:tcPr>
    </w:tblStylePr>
    <w:tblStylePr w:type="band1Vert">
      <w:tcPr>
        <w:shd w:val="clear" w:color="ffffff" w:themeColor="accent2" w:themeTint="40" w:fill="aae1fd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0378ae" w:themeColor="accent2" w:themeTint="97" w:themeShade="95"/>
      </w:rPr>
    </w:tblStylePr>
    <w:tblStylePr w:type="firstRow">
      <w:rPr>
        <w:b/>
        <w:color w:val="0378ae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8ae" w:themeColor="accent2" w:themeTint="97" w:themeShade="95"/>
      </w:rPr>
    </w:tblStylePr>
    <w:tblStylePr w:type="lastRow">
      <w:rPr>
        <w:b/>
        <w:color w:val="0378ae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0">
    <w:name w:val="List Table 6 Colorful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fdc7aa" w:themeFill="accent3" w:themeFillTint="40"/>
      </w:tcPr>
    </w:tblStylePr>
    <w:tblStylePr w:type="band1Vert">
      <w:tcPr>
        <w:shd w:val="clear" w:color="ffffff" w:themeColor="accent3" w:themeTint="40" w:fill="fdc7aa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ab3b04" w:themeColor="accent3" w:themeTint="98" w:themeShade="95"/>
      </w:rPr>
    </w:tblStylePr>
    <w:tblStylePr w:type="firstRow">
      <w:rPr>
        <w:b/>
        <w:color w:val="ab3b04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b3b04" w:themeColor="accent3" w:themeTint="98" w:themeShade="95"/>
      </w:rPr>
    </w:tblStylePr>
    <w:tblStylePr w:type="lastRow">
      <w:rPr>
        <w:b/>
        <w:color w:val="ab3b04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1">
    <w:name w:val="List Table 6 Colorful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0aafd" w:themeFill="accent4" w:themeFillTint="40"/>
      </w:tcPr>
    </w:tblStylePr>
    <w:tblStylePr w:type="band1Vert">
      <w:tcPr>
        <w:shd w:val="clear" w:color="ffffff" w:themeColor="accent4" w:themeTint="40" w:fill="f0aafd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9104ab" w:themeColor="accent4" w:themeTint="9A" w:themeShade="95"/>
      </w:rPr>
    </w:tblStylePr>
    <w:tblStylePr w:type="firstRow">
      <w:rPr>
        <w:b/>
        <w:color w:val="9104ab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104ab" w:themeColor="accent4" w:themeTint="9A" w:themeShade="95"/>
      </w:rPr>
    </w:tblStylePr>
    <w:tblStylePr w:type="lastRow">
      <w:rPr>
        <w:b/>
        <w:color w:val="9104ab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2">
    <w:name w:val="List Table 6 Colorful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ffebb1" w:themeFill="accent5" w:themeFillTint="40"/>
      </w:tcPr>
    </w:tblStylePr>
    <w:tblStylePr w:type="band1Vert">
      <w:tcPr>
        <w:shd w:val="clear" w:color="ffffff" w:themeColor="accent5" w:themeTint="40" w:fill="ffebb1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ba8700" w:themeColor="accent5" w:themeTint="9A" w:themeShade="95"/>
      </w:rPr>
    </w:tblStylePr>
    <w:tblStylePr w:type="firstRow">
      <w:rPr>
        <w:b/>
        <w:color w:val="ba870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a8700" w:themeColor="accent5" w:themeTint="9A" w:themeShade="95"/>
      </w:rPr>
    </w:tblStylePr>
    <w:tblStylePr w:type="lastRow">
      <w:rPr>
        <w:b/>
        <w:color w:val="ba870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3">
    <w:name w:val="List Table 6 Colorful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5c2c2" w:themeFill="accent6" w:themeFillTint="40"/>
      </w:tcPr>
    </w:tblStylePr>
    <w:tblStylePr w:type="band1Vert">
      <w:tcPr>
        <w:shd w:val="clear" w:color="ffffff" w:themeColor="accent6" w:themeTint="40" w:fill="f5c2c2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ad1a1a" w:themeColor="accent6" w:themeTint="98" w:themeShade="95"/>
      </w:rPr>
    </w:tblStylePr>
    <w:tblStylePr w:type="firstRow">
      <w:rPr>
        <w:b/>
        <w:color w:val="ad1a1a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d1a1a" w:themeColor="accent6" w:themeTint="98" w:themeShade="95"/>
      </w:rPr>
    </w:tblStylePr>
    <w:tblStylePr w:type="lastRow">
      <w:rPr>
        <w:b/>
        <w:color w:val="ad1a1a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4">
    <w:name w:val="List Table 7 Colorful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5">
    <w:name w:val="List Table 7 Colorful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0e5e01" w:themeColor="accent1" w:themeShade="95"/>
        <w:sz w:val="22"/>
      </w:rPr>
      <w:tcPr>
        <w:shd w:val="clear" w:color="ffffff" w:themeColor="accent1" w:themeTint="40" w:fill="b6fdaa" w:themeFill="accent1" w:themeFillTint="40"/>
      </w:tcPr>
    </w:tblStylePr>
    <w:tblStylePr w:type="band1Vert">
      <w:tcPr>
        <w:shd w:val="clear" w:color="ffffff" w:themeColor="accent1" w:themeTint="40" w:fill="b6fdaa" w:themeFill="accent1" w:themeFillTint="40"/>
      </w:tcPr>
    </w:tblStylePr>
    <w:tblStylePr w:type="band2Horz">
      <w:rPr>
        <w:rFonts w:ascii="Arial" w:hAnsi="Arial"/>
        <w:color w:val="0e5e01" w:themeColor="accent1" w:themeShade="95"/>
        <w:sz w:val="22"/>
      </w:rPr>
    </w:tblStylePr>
    <w:tblStylePr w:type="firstCol">
      <w:rPr>
        <w:rFonts w:ascii="Arial" w:hAnsi="Arial"/>
        <w:i/>
        <w:color w:val="0e5e0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e0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e0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e0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0e5e01" w:themeColor="accent1" w:themeShade="95"/>
        <w:sz w:val="22"/>
      </w:rPr>
    </w:tblStylePr>
  </w:style>
  <w:style w:type="table" w:styleId="786">
    <w:name w:val="List Table 7 Colorful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0378ae" w:themeColor="accent2" w:themeTint="97" w:themeShade="95"/>
        <w:sz w:val="22"/>
      </w:rPr>
      <w:tcPr>
        <w:shd w:val="clear" w:color="ffffff" w:themeColor="accent2" w:themeTint="40" w:fill="aae1fd" w:themeFill="accent2" w:themeFillTint="40"/>
      </w:tcPr>
    </w:tblStylePr>
    <w:tblStylePr w:type="band1Vert">
      <w:tcPr>
        <w:shd w:val="clear" w:color="ffffff" w:themeColor="accent2" w:themeTint="40" w:fill="aae1fd" w:themeFill="accent2" w:themeFillTint="40"/>
      </w:tcPr>
    </w:tblStylePr>
    <w:tblStylePr w:type="band2Horz">
      <w:rPr>
        <w:rFonts w:ascii="Arial" w:hAnsi="Arial"/>
        <w:color w:val="0378ae" w:themeColor="accent2" w:themeTint="97" w:themeShade="95"/>
        <w:sz w:val="22"/>
      </w:rPr>
    </w:tblStylePr>
    <w:tblStylePr w:type="firstCol">
      <w:rPr>
        <w:rFonts w:ascii="Arial" w:hAnsi="Arial"/>
        <w:i/>
        <w:color w:val="0378ae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8ae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8ae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8ae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0378ae" w:themeColor="accent2" w:themeTint="97" w:themeShade="95"/>
        <w:sz w:val="22"/>
      </w:rPr>
    </w:tblStylePr>
  </w:style>
  <w:style w:type="table" w:styleId="787">
    <w:name w:val="List Table 7 Colorful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ab3b04" w:themeColor="accent3" w:themeTint="98" w:themeShade="95"/>
        <w:sz w:val="22"/>
      </w:rPr>
      <w:tcPr>
        <w:shd w:val="clear" w:color="ffffff" w:themeColor="accent3" w:themeTint="40" w:fill="fdc7aa" w:themeFill="accent3" w:themeFillTint="40"/>
      </w:tcPr>
    </w:tblStylePr>
    <w:tblStylePr w:type="band1Vert">
      <w:tcPr>
        <w:shd w:val="clear" w:color="ffffff" w:themeColor="accent3" w:themeTint="40" w:fill="fdc7aa" w:themeFill="accent3" w:themeFillTint="40"/>
      </w:tcPr>
    </w:tblStylePr>
    <w:tblStylePr w:type="band2Horz">
      <w:rPr>
        <w:rFonts w:ascii="Arial" w:hAnsi="Arial"/>
        <w:color w:val="ab3b04" w:themeColor="accent3" w:themeTint="98" w:themeShade="95"/>
        <w:sz w:val="22"/>
      </w:rPr>
    </w:tblStylePr>
    <w:tblStylePr w:type="firstCol">
      <w:rPr>
        <w:rFonts w:ascii="Arial" w:hAnsi="Arial"/>
        <w:i/>
        <w:color w:val="ab3b04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b3b04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b3b04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b3b04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ab3b04" w:themeColor="accent3" w:themeTint="98" w:themeShade="95"/>
        <w:sz w:val="22"/>
      </w:rPr>
    </w:tblStylePr>
  </w:style>
  <w:style w:type="table" w:styleId="788">
    <w:name w:val="List Table 7 Colorful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9104ab" w:themeColor="accent4" w:themeTint="9A" w:themeShade="95"/>
        <w:sz w:val="22"/>
      </w:rPr>
      <w:tcPr>
        <w:shd w:val="clear" w:color="ffffff" w:themeColor="accent4" w:themeTint="40" w:fill="f0aafd" w:themeFill="accent4" w:themeFillTint="40"/>
      </w:tcPr>
    </w:tblStylePr>
    <w:tblStylePr w:type="band1Vert">
      <w:tcPr>
        <w:shd w:val="clear" w:color="ffffff" w:themeColor="accent4" w:themeTint="40" w:fill="f0aafd" w:themeFill="accent4" w:themeFillTint="40"/>
      </w:tcPr>
    </w:tblStylePr>
    <w:tblStylePr w:type="band2Horz">
      <w:rPr>
        <w:rFonts w:ascii="Arial" w:hAnsi="Arial"/>
        <w:color w:val="9104ab" w:themeColor="accent4" w:themeTint="9A" w:themeShade="95"/>
        <w:sz w:val="22"/>
      </w:rPr>
    </w:tblStylePr>
    <w:tblStylePr w:type="firstCol">
      <w:rPr>
        <w:rFonts w:ascii="Arial" w:hAnsi="Arial"/>
        <w:i/>
        <w:color w:val="9104ab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104ab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104ab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104ab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104ab" w:themeColor="accent4" w:themeTint="9A" w:themeShade="95"/>
        <w:sz w:val="22"/>
      </w:rPr>
    </w:tblStylePr>
  </w:style>
  <w:style w:type="table" w:styleId="789">
    <w:name w:val="List Table 7 Colorful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ba8700" w:themeColor="accent5" w:themeTint="9A" w:themeShade="95"/>
        <w:sz w:val="22"/>
      </w:rPr>
      <w:tcPr>
        <w:shd w:val="clear" w:color="ffffff" w:themeColor="accent5" w:themeTint="40" w:fill="ffebb1" w:themeFill="accent5" w:themeFillTint="40"/>
      </w:tcPr>
    </w:tblStylePr>
    <w:tblStylePr w:type="band1Vert">
      <w:tcPr>
        <w:shd w:val="clear" w:color="ffffff" w:themeColor="accent5" w:themeTint="40" w:fill="ffebb1" w:themeFill="accent5" w:themeFillTint="40"/>
      </w:tcPr>
    </w:tblStylePr>
    <w:tblStylePr w:type="band2Horz">
      <w:rPr>
        <w:rFonts w:ascii="Arial" w:hAnsi="Arial"/>
        <w:color w:val="ba8700" w:themeColor="accent5" w:themeTint="9A" w:themeShade="95"/>
        <w:sz w:val="22"/>
      </w:rPr>
    </w:tblStylePr>
    <w:tblStylePr w:type="firstCol">
      <w:rPr>
        <w:rFonts w:ascii="Arial" w:hAnsi="Arial"/>
        <w:i/>
        <w:color w:val="ba870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a870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a870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a870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ba8700" w:themeColor="accent5" w:themeTint="9A" w:themeShade="95"/>
        <w:sz w:val="22"/>
      </w:rPr>
    </w:tblStylePr>
  </w:style>
  <w:style w:type="table" w:styleId="790">
    <w:name w:val="List Table 7 Colorful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ad1a1a" w:themeColor="accent6" w:themeTint="98" w:themeShade="95"/>
        <w:sz w:val="22"/>
      </w:rPr>
      <w:tcPr>
        <w:shd w:val="clear" w:color="ffffff" w:themeColor="accent6" w:themeTint="40" w:fill="f5c2c2" w:themeFill="accent6" w:themeFillTint="40"/>
      </w:tcPr>
    </w:tblStylePr>
    <w:tblStylePr w:type="band1Vert">
      <w:tcPr>
        <w:shd w:val="clear" w:color="ffffff" w:themeColor="accent6" w:themeTint="40" w:fill="f5c2c2" w:themeFill="accent6" w:themeFillTint="40"/>
      </w:tcPr>
    </w:tblStylePr>
    <w:tblStylePr w:type="band2Horz">
      <w:rPr>
        <w:rFonts w:ascii="Arial" w:hAnsi="Arial"/>
        <w:color w:val="ad1a1a" w:themeColor="accent6" w:themeTint="98" w:themeShade="95"/>
        <w:sz w:val="22"/>
      </w:rPr>
    </w:tblStylePr>
    <w:tblStylePr w:type="firstCol">
      <w:rPr>
        <w:rFonts w:ascii="Arial" w:hAnsi="Arial"/>
        <w:i/>
        <w:color w:val="ad1a1a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d1a1a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d1a1a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d1a1a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ad1a1a" w:themeColor="accent6" w:themeTint="98" w:themeShade="95"/>
        <w:sz w:val="22"/>
      </w:rPr>
    </w:tblStylePr>
  </w:style>
  <w:style w:type="table" w:styleId="791">
    <w:name w:val="Lined - Accent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2">
    <w:name w:val="Lined - Accent 1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a3fc95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a3fc95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ebe03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ebe03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ebe03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ebe03" w:themeFill="accent1" w:themeFillTint="EA"/>
      </w:tcPr>
    </w:tblStylePr>
  </w:style>
  <w:style w:type="table" w:styleId="793">
    <w:name w:val="Lined - Accent 2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bce7fd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bce7fd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36b8fb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36b8fb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36b8fb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36b8fb" w:themeFill="accent2" w:themeFillTint="97"/>
      </w:tcPr>
    </w:tblStylePr>
  </w:style>
  <w:style w:type="table" w:styleId="794">
    <w:name w:val="Lined - Accent 3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fdd2ba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fdd2ba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43c0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43c0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43c0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43c03" w:themeFill="accent3" w:themeFillTint="FE"/>
      </w:tcPr>
    </w:tblStylePr>
  </w:style>
  <w:style w:type="table" w:styleId="795">
    <w:name w:val="Lined - Accent 4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3bafd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3bafd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dc33fa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dc33fa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dc33fa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dc33fa" w:themeFill="accent4" w:themeFillTint="9A"/>
      </w:tcPr>
    </w:tblStylePr>
  </w:style>
  <w:style w:type="table" w:styleId="796">
    <w:name w:val="Lined - Accent 5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fefbf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fefbf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c99c00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c99c00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c99c00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c99c00" w:themeFill="accent5"/>
      </w:tcPr>
    </w:tblStylePr>
  </w:style>
  <w:style w:type="table" w:styleId="797">
    <w:name w:val="Lined - Accent 6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7cccc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7cccc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c9211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c9211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c9211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c9211e" w:themeFill="accent6"/>
      </w:tcPr>
    </w:tblStylePr>
  </w:style>
  <w:style w:type="table" w:styleId="798">
    <w:name w:val="Bordered &amp; Lined - Accent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Bordered &amp; Lined - Accent 1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a3fc95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a3fc95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ebe03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ebe03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ebe03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ebe03" w:themeFill="accent1" w:themeFillTint="EA"/>
      </w:tcPr>
    </w:tblStylePr>
  </w:style>
  <w:style w:type="table" w:styleId="800">
    <w:name w:val="Bordered &amp; Lined - Accent 2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bce7fd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bce7fd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36b8fb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36b8fb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36b8fb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36b8fb" w:themeFill="accent2" w:themeFillTint="97"/>
      </w:tcPr>
    </w:tblStylePr>
  </w:style>
  <w:style w:type="table" w:styleId="801">
    <w:name w:val="Bordered &amp; Lined - Accent 3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fdd2ba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fdd2ba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43c0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43c0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43c0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43c03" w:themeFill="accent3" w:themeFillTint="FE"/>
      </w:tcPr>
    </w:tblStylePr>
  </w:style>
  <w:style w:type="table" w:styleId="802">
    <w:name w:val="Bordered &amp; Lined - Accent 4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3bafd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3bafd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dc33fa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dc33fa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dc33fa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dc33fa" w:themeFill="accent4" w:themeFillTint="9A"/>
      </w:tcPr>
    </w:tblStylePr>
  </w:style>
  <w:style w:type="table" w:styleId="803">
    <w:name w:val="Bordered &amp; Lined - Accent 5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fefbf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fefbf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c99c00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c99c00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c99c00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c99c00" w:themeFill="accent5"/>
      </w:tcPr>
    </w:tblStylePr>
  </w:style>
  <w:style w:type="table" w:styleId="804">
    <w:name w:val="Bordered &amp; Lined - Accent 6"/>
    <w:basedOn w:val="85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7cccc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7cccc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c9211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c9211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c9211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c9211e" w:themeFill="accent6"/>
      </w:tcPr>
    </w:tblStylePr>
  </w:style>
  <w:style w:type="table" w:styleId="805">
    <w:name w:val="Bordered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6">
    <w:name w:val="Bordered - Accent 1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7">
    <w:name w:val="Bordered - Accent 2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8">
    <w:name w:val="Bordered - Accent 3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9">
    <w:name w:val="Bordered - Accent 4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0">
    <w:name w:val="Bordered - Accent 5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1">
    <w:name w:val="Bordered - Accent 6"/>
    <w:basedOn w:val="85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812">
    <w:name w:val="footnote text"/>
    <w:basedOn w:val="829"/>
    <w:link w:val="813"/>
    <w:uiPriority w:val="99"/>
    <w:semiHidden/>
    <w:unhideWhenUsed/>
    <w:pPr>
      <w:spacing w:after="40" w:line="240" w:lineRule="auto"/>
    </w:pPr>
    <w:rPr>
      <w:sz w:val="18"/>
    </w:rPr>
  </w:style>
  <w:style w:type="character" w:styleId="813">
    <w:name w:val="Footnote Text Char"/>
    <w:link w:val="812"/>
    <w:uiPriority w:val="99"/>
    <w:rPr>
      <w:sz w:val="18"/>
    </w:rPr>
  </w:style>
  <w:style w:type="character" w:styleId="814">
    <w:name w:val="footnote reference"/>
    <w:basedOn w:val="832"/>
    <w:uiPriority w:val="99"/>
    <w:unhideWhenUsed/>
    <w:rPr>
      <w:vertAlign w:val="superscript"/>
    </w:rPr>
  </w:style>
  <w:style w:type="paragraph" w:styleId="815">
    <w:name w:val="endnote text"/>
    <w:basedOn w:val="829"/>
    <w:link w:val="816"/>
    <w:uiPriority w:val="99"/>
    <w:semiHidden/>
    <w:unhideWhenUsed/>
    <w:pPr>
      <w:spacing w:after="0" w:line="240" w:lineRule="auto"/>
    </w:pPr>
    <w:rPr>
      <w:sz w:val="20"/>
    </w:rPr>
  </w:style>
  <w:style w:type="character" w:styleId="816">
    <w:name w:val="Endnote Text Char"/>
    <w:link w:val="815"/>
    <w:uiPriority w:val="99"/>
    <w:rPr>
      <w:sz w:val="20"/>
    </w:rPr>
  </w:style>
  <w:style w:type="character" w:styleId="817">
    <w:name w:val="endnote reference"/>
    <w:basedOn w:val="832"/>
    <w:uiPriority w:val="99"/>
    <w:semiHidden/>
    <w:unhideWhenUsed/>
    <w:rPr>
      <w:vertAlign w:val="superscript"/>
    </w:rPr>
  </w:style>
  <w:style w:type="paragraph" w:styleId="818">
    <w:name w:val="toc 1"/>
    <w:basedOn w:val="829"/>
    <w:next w:val="829"/>
    <w:uiPriority w:val="39"/>
    <w:unhideWhenUsed/>
    <w:pPr>
      <w:ind w:left="0" w:right="0" w:firstLine="0"/>
      <w:spacing w:after="57"/>
    </w:pPr>
  </w:style>
  <w:style w:type="paragraph" w:styleId="819">
    <w:name w:val="toc 2"/>
    <w:basedOn w:val="829"/>
    <w:next w:val="829"/>
    <w:uiPriority w:val="39"/>
    <w:unhideWhenUsed/>
    <w:pPr>
      <w:ind w:left="283" w:right="0" w:firstLine="0"/>
      <w:spacing w:after="57"/>
    </w:pPr>
  </w:style>
  <w:style w:type="paragraph" w:styleId="820">
    <w:name w:val="toc 3"/>
    <w:basedOn w:val="829"/>
    <w:next w:val="829"/>
    <w:uiPriority w:val="39"/>
    <w:unhideWhenUsed/>
    <w:pPr>
      <w:ind w:left="567" w:right="0" w:firstLine="0"/>
      <w:spacing w:after="57"/>
    </w:pPr>
  </w:style>
  <w:style w:type="paragraph" w:styleId="821">
    <w:name w:val="toc 4"/>
    <w:basedOn w:val="829"/>
    <w:next w:val="829"/>
    <w:uiPriority w:val="39"/>
    <w:unhideWhenUsed/>
    <w:pPr>
      <w:ind w:left="850" w:right="0" w:firstLine="0"/>
      <w:spacing w:after="57"/>
    </w:pPr>
  </w:style>
  <w:style w:type="paragraph" w:styleId="822">
    <w:name w:val="toc 5"/>
    <w:basedOn w:val="829"/>
    <w:next w:val="829"/>
    <w:uiPriority w:val="39"/>
    <w:unhideWhenUsed/>
    <w:pPr>
      <w:ind w:left="1134" w:right="0" w:firstLine="0"/>
      <w:spacing w:after="57"/>
    </w:pPr>
  </w:style>
  <w:style w:type="paragraph" w:styleId="823">
    <w:name w:val="toc 6"/>
    <w:basedOn w:val="829"/>
    <w:next w:val="829"/>
    <w:uiPriority w:val="39"/>
    <w:unhideWhenUsed/>
    <w:pPr>
      <w:ind w:left="1417" w:right="0" w:firstLine="0"/>
      <w:spacing w:after="57"/>
    </w:pPr>
  </w:style>
  <w:style w:type="paragraph" w:styleId="824">
    <w:name w:val="toc 7"/>
    <w:basedOn w:val="829"/>
    <w:next w:val="829"/>
    <w:uiPriority w:val="39"/>
    <w:unhideWhenUsed/>
    <w:pPr>
      <w:ind w:left="1701" w:right="0" w:firstLine="0"/>
      <w:spacing w:after="57"/>
    </w:pPr>
  </w:style>
  <w:style w:type="paragraph" w:styleId="825">
    <w:name w:val="toc 8"/>
    <w:basedOn w:val="829"/>
    <w:next w:val="829"/>
    <w:uiPriority w:val="39"/>
    <w:unhideWhenUsed/>
    <w:pPr>
      <w:ind w:left="1984" w:right="0" w:firstLine="0"/>
      <w:spacing w:after="57"/>
    </w:pPr>
  </w:style>
  <w:style w:type="paragraph" w:styleId="826">
    <w:name w:val="toc 9"/>
    <w:basedOn w:val="829"/>
    <w:next w:val="829"/>
    <w:uiPriority w:val="39"/>
    <w:unhideWhenUsed/>
    <w:pPr>
      <w:ind w:left="2268" w:right="0" w:firstLine="0"/>
      <w:spacing w:after="57"/>
    </w:pPr>
  </w:style>
  <w:style w:type="paragraph" w:styleId="827">
    <w:name w:val="TOC Heading"/>
    <w:uiPriority w:val="39"/>
    <w:unhideWhenUsed/>
  </w:style>
  <w:style w:type="paragraph" w:styleId="828">
    <w:name w:val="table of figures"/>
    <w:basedOn w:val="829"/>
    <w:next w:val="829"/>
    <w:uiPriority w:val="99"/>
    <w:unhideWhenUsed/>
    <w:pPr>
      <w:spacing w:after="0" w:afterAutospacing="0"/>
    </w:pPr>
  </w:style>
  <w:style w:type="paragraph" w:styleId="829" w:default="1">
    <w:name w:val="Normal"/>
    <w:qFormat/>
    <w:pPr>
      <w:jc w:val="left"/>
      <w:spacing w:before="0" w:after="0"/>
      <w:widowControl/>
    </w:pPr>
    <w:rPr>
      <w:rFonts w:ascii="Liberation Serif" w:hAnsi="Liberation Serif" w:eastAsia="NSimSun" w:cs="Arial"/>
      <w:color w:val="auto"/>
      <w:sz w:val="24"/>
      <w:szCs w:val="24"/>
      <w:lang w:val="ru-RU" w:eastAsia="zh-CN" w:bidi="hi-IN"/>
    </w:rPr>
  </w:style>
  <w:style w:type="paragraph" w:styleId="830">
    <w:name w:val="Heading 2"/>
    <w:basedOn w:val="844"/>
    <w:next w:val="840"/>
    <w:uiPriority w:val="9"/>
    <w:unhideWhenUsed/>
    <w:qFormat/>
    <w:pPr>
      <w:spacing w:before="200" w:after="120"/>
      <w:outlineLvl w:val="1"/>
    </w:pPr>
    <w:rPr>
      <w:rFonts w:ascii="Liberation Serif" w:hAnsi="Liberation Serif" w:eastAsia="NSimSun"/>
      <w:b/>
      <w:bCs/>
      <w:sz w:val="36"/>
      <w:szCs w:val="36"/>
    </w:rPr>
  </w:style>
  <w:style w:type="paragraph" w:styleId="831">
    <w:name w:val="Heading 3"/>
    <w:basedOn w:val="844"/>
    <w:next w:val="840"/>
    <w:uiPriority w:val="9"/>
    <w:unhideWhenUsed/>
    <w:qFormat/>
    <w:pPr>
      <w:spacing w:before="140" w:after="120"/>
      <w:outlineLvl w:val="2"/>
    </w:pPr>
    <w:rPr>
      <w:rFonts w:ascii="Liberation Serif" w:hAnsi="Liberation Serif" w:eastAsia="NSimSun"/>
      <w:b/>
      <w:bCs/>
    </w:rPr>
  </w:style>
  <w:style w:type="character" w:styleId="832" w:default="1">
    <w:name w:val="Default Paragraph Font"/>
    <w:uiPriority w:val="1"/>
    <w:unhideWhenUsed/>
    <w:qFormat/>
  </w:style>
  <w:style w:type="character" w:styleId="833">
    <w:name w:val="Hyperlink"/>
    <w:rPr>
      <w:color w:val="000080"/>
      <w:u w:val="single"/>
    </w:rPr>
  </w:style>
  <w:style w:type="character" w:styleId="834">
    <w:name w:val="Strong"/>
    <w:qFormat/>
    <w:rPr>
      <w:b/>
      <w:bCs/>
    </w:rPr>
  </w:style>
  <w:style w:type="character" w:styleId="835">
    <w:name w:val="Emphasis"/>
    <w:qFormat/>
    <w:rPr>
      <w:i/>
      <w:iCs/>
    </w:rPr>
  </w:style>
  <w:style w:type="character" w:styleId="836">
    <w:name w:val="FollowedHyperlink"/>
    <w:basedOn w:val="832"/>
    <w:rPr>
      <w:color w:val="551a8b" w:themeColor="followedHyperlink"/>
      <w:u w:val="single"/>
    </w:rPr>
  </w:style>
  <w:style w:type="character" w:styleId="837" w:customStyle="1">
    <w:name w:val="Символ нумерации"/>
    <w:qFormat/>
  </w:style>
  <w:style w:type="character" w:styleId="838">
    <w:name w:val="Unresolved Mention"/>
    <w:basedOn w:val="832"/>
    <w:uiPriority w:val="99"/>
    <w:semiHidden/>
    <w:unhideWhenUsed/>
    <w:qFormat/>
    <w:rPr>
      <w:color w:val="605e5c"/>
      <w:shd w:val="clear" w:color="auto" w:fill="e1dfdd"/>
    </w:rPr>
  </w:style>
  <w:style w:type="paragraph" w:styleId="839">
    <w:name w:val="Заголовок"/>
    <w:basedOn w:val="829"/>
    <w:next w:val="840"/>
    <w:qFormat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840">
    <w:name w:val="Body Text"/>
    <w:basedOn w:val="829"/>
    <w:pPr>
      <w:spacing w:before="0" w:after="140" w:line="276" w:lineRule="auto"/>
    </w:pPr>
  </w:style>
  <w:style w:type="paragraph" w:styleId="841">
    <w:name w:val="List"/>
    <w:basedOn w:val="840"/>
  </w:style>
  <w:style w:type="paragraph" w:styleId="842">
    <w:name w:val="Caption"/>
    <w:basedOn w:val="829"/>
    <w:qFormat/>
    <w:pPr>
      <w:spacing w:before="120" w:after="120"/>
      <w:suppressLineNumbers/>
    </w:pPr>
    <w:rPr>
      <w:rFonts w:cs="Arial"/>
      <w:i/>
      <w:iCs/>
      <w:sz w:val="24"/>
      <w:szCs w:val="24"/>
    </w:rPr>
  </w:style>
  <w:style w:type="paragraph" w:styleId="843">
    <w:name w:val="Указатель"/>
    <w:basedOn w:val="829"/>
    <w:qFormat/>
    <w:pPr>
      <w:suppressLineNumbers/>
    </w:pPr>
    <w:rPr>
      <w:rFonts w:cs="Arial"/>
    </w:rPr>
  </w:style>
  <w:style w:type="paragraph" w:styleId="844">
    <w:name w:val="Title"/>
    <w:basedOn w:val="829"/>
    <w:next w:val="840"/>
    <w:uiPriority w:val="10"/>
    <w:qFormat/>
    <w:pPr>
      <w:keepNext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845">
    <w:name w:val="caption1"/>
    <w:basedOn w:val="829"/>
    <w:qFormat/>
    <w:pPr>
      <w:spacing w:before="120" w:after="120"/>
      <w:suppressLineNumbers/>
    </w:pPr>
    <w:rPr>
      <w:i/>
      <w:iCs/>
    </w:rPr>
  </w:style>
  <w:style w:type="paragraph" w:styleId="846">
    <w:name w:val="index heading"/>
    <w:basedOn w:val="829"/>
    <w:qFormat/>
    <w:pPr>
      <w:suppressLineNumbers/>
    </w:pPr>
  </w:style>
  <w:style w:type="paragraph" w:styleId="847" w:customStyle="1">
    <w:name w:val="Содержимое таблицы"/>
    <w:basedOn w:val="829"/>
    <w:qFormat/>
    <w:pPr>
      <w:widowControl w:val="off"/>
      <w:suppressLineNumbers/>
    </w:pPr>
  </w:style>
  <w:style w:type="paragraph" w:styleId="848" w:customStyle="1">
    <w:name w:val="Заголовок таблицы"/>
    <w:basedOn w:val="847"/>
    <w:qFormat/>
    <w:pPr>
      <w:jc w:val="center"/>
    </w:pPr>
    <w:rPr>
      <w:b/>
      <w:bCs/>
    </w:rPr>
  </w:style>
  <w:style w:type="numbering" w:styleId="849" w:default="1">
    <w:name w:val="No List"/>
    <w:uiPriority w:val="99"/>
    <w:semiHidden/>
    <w:unhideWhenUsed/>
    <w:qFormat/>
  </w:style>
  <w:style w:type="numbering" w:styleId="850" w:customStyle="1">
    <w:name w:val="Нумерованный 123"/>
    <w:qFormat/>
  </w:style>
  <w:style w:type="table" w:styleId="851" w:default="1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itpm-wiki.mos.ru/pages/viewpage.action?pageId=482562297" TargetMode="External"/><Relationship Id="rId10" Type="http://schemas.openxmlformats.org/officeDocument/2006/relationships/hyperlink" Target="https://itpm-wiki.mos.ru/pages/viewpage.action?pageId=489172422" TargetMode="External"/><Relationship Id="rId11" Type="http://schemas.openxmlformats.org/officeDocument/2006/relationships/hyperlink" Target="https://cloud.dit.mos.ru/apps/ditdocuments/s/wYj6atoLqNyErfJ?fileId=313143565" TargetMode="External"/><Relationship Id="rId12" Type="http://schemas.openxmlformats.org/officeDocument/2006/relationships/hyperlink" Target="https://cloud.dit.mos.ru/apps/ditdocuments/s/wYj6atoLqNyErfJ?fileId=289256339" TargetMode="External"/><Relationship Id="rId13" Type="http://schemas.openxmlformats.org/officeDocument/2006/relationships/hyperlink" Target="https://cloud.dit.mos.ru/apps/ditdocuments/s/wYj6atoLqNyErfJ?fileId=289256339" TargetMode="External"/><Relationship Id="rId14" Type="http://schemas.openxmlformats.org/officeDocument/2006/relationships/hyperlink" Target="https://cloud.dit.mos.ru/apps/ditdocuments/s/wYj6atoLqNyErfJ?fileId=289256339" TargetMode="External"/><Relationship Id="rId15" Type="http://schemas.openxmlformats.org/officeDocument/2006/relationships/hyperlink" Target="https://cloud.dit.mos.ru/apps/ditdocuments/s/wYj6atoLqNyErfJ?fileId=289256339" TargetMode="External"/><Relationship Id="rId16" Type="http://schemas.openxmlformats.org/officeDocument/2006/relationships/hyperlink" Target="https://cloud.dit.mos.ru/apps/ditdocuments/s/wYj6atoLqNyErfJ?fileId=289256339" TargetMode="External"/><Relationship Id="rId17" Type="http://schemas.openxmlformats.org/officeDocument/2006/relationships/hyperlink" Target="https://cloud.dit.mos.ru/apps/ditdocuments/s/wYj6atoLqNyErfJ?fileId=289256339" TargetMode="External"/><Relationship Id="rId18" Type="http://schemas.openxmlformats.org/officeDocument/2006/relationships/hyperlink" Target="https://cloud.dit.mos.ru/apps/ditdocuments/s/wYj6atoLqNyErfJ?fileId=289256339" TargetMode="External"/><Relationship Id="rId19" Type="http://schemas.openxmlformats.org/officeDocument/2006/relationships/hyperlink" Target="https://cloud.dit.mos.ru/apps/ditdocuments/s/wYj6atoLqNyErfJ?fileId=289256339" TargetMode="External"/><Relationship Id="rId20" Type="http://schemas.openxmlformats.org/officeDocument/2006/relationships/hyperlink" Target="https://cloud.dit.mos.ru/apps/ditdocuments/s/wYj6atoLqNyErfJ?fileId=289256339" TargetMode="External"/><Relationship Id="rId21" Type="http://schemas.openxmlformats.org/officeDocument/2006/relationships/hyperlink" Target="https://cloud.dit.mos.ru/apps/ditdocuments/s/wYj6atoLqNyErfJ?fileId=289256339" TargetMode="External"/><Relationship Id="rId22" Type="http://schemas.openxmlformats.org/officeDocument/2006/relationships/hyperlink" Target="https://cloud.dit.mos.ru/apps/ditdocuments/s/wYj6atoLqNyErfJ?fileId=289256339" TargetMode="External"/><Relationship Id="rId23" Type="http://schemas.openxmlformats.org/officeDocument/2006/relationships/hyperlink" Target="https://cloud.dit.mos.ru/apps/ditdocuments/s/wYj6atoLqNyErfJ?fileId=289256339" TargetMode="External"/><Relationship Id="rId24" Type="http://schemas.openxmlformats.org/officeDocument/2006/relationships/hyperlink" Target="https://cloud.dit.mos.ru/apps/ditdocuments/s/wYj6atoLqNyErfJ?fileId=289256339" TargetMode="External"/><Relationship Id="rId25" Type="http://schemas.openxmlformats.org/officeDocument/2006/relationships/hyperlink" Target="https://cloud.dit.mos.ru/apps/ditdocuments/s/wYj6atoLqNyErfJ?fileId=289256339" TargetMode="External"/><Relationship Id="rId26" Type="http://schemas.openxmlformats.org/officeDocument/2006/relationships/hyperlink" Target="https://cloud.dit.mos.ru/apps/ditdocuments/s/wYj6atoLqNyErfJ?fileId=289256339" TargetMode="External"/><Relationship Id="rId27" Type="http://schemas.openxmlformats.org/officeDocument/2006/relationships/hyperlink" Target="https://cloud.dit.mos.ru/apps/ditdocuments/s/wYj6atoLqNyErfJ?fileId=289256339" TargetMode="External"/><Relationship Id="rId28" Type="http://schemas.openxmlformats.org/officeDocument/2006/relationships/hyperlink" Target="https://itpm-wiki.mos.ru/pages/viewpage.action?pageId=533161398" TargetMode="External"/><Relationship Id="rId29" Type="http://schemas.openxmlformats.org/officeDocument/2006/relationships/hyperlink" Target="https://itpm-wiki.mos.ru/pages/viewpage.action?pageId=487497488" TargetMode="External"/><Relationship Id="rId30" Type="http://schemas.openxmlformats.org/officeDocument/2006/relationships/hyperlink" Target="https://itpm-wiki.mos.ru/pages/viewpage.action?pageId=487497489" TargetMode="External"/><Relationship Id="rId31" Type="http://schemas.openxmlformats.org/officeDocument/2006/relationships/hyperlink" Target="https://itpm-wiki.mos.ru/pages/viewpage.action?pageId=487497469" TargetMode="External"/><Relationship Id="rId32" Type="http://schemas.openxmlformats.org/officeDocument/2006/relationships/hyperlink" Target="https://itpm-wiki.mos.ru/pages/viewpage.action?pageId=487497490" TargetMode="External"/><Relationship Id="rId33" Type="http://schemas.openxmlformats.org/officeDocument/2006/relationships/hyperlink" Target="https://itpm-wiki.mos.ru/pages/viewpage.action?pageId=487497486" TargetMode="External"/><Relationship Id="rId34" Type="http://schemas.openxmlformats.org/officeDocument/2006/relationships/hyperlink" Target="https://itpm-wiki.mos.ru/pages/viewpage.action?pageId=487496869" TargetMode="External"/><Relationship Id="rId35" Type="http://schemas.openxmlformats.org/officeDocument/2006/relationships/hyperlink" Target="https://itpm-wiki.mos.ru/pages/viewpage.action?pageId=487496905" TargetMode="External"/><Relationship Id="rId36" Type="http://schemas.openxmlformats.org/officeDocument/2006/relationships/hyperlink" Target="https://itpm-wiki.mos.ru/pages/viewpage.action?pageId=487496896" TargetMode="External"/><Relationship Id="rId37" Type="http://schemas.openxmlformats.org/officeDocument/2006/relationships/hyperlink" Target="https://itpm-wiki.mos.ru/pages/viewpage.action?pageId=487496907" TargetMode="External"/><Relationship Id="rId38" Type="http://schemas.openxmlformats.org/officeDocument/2006/relationships/hyperlink" Target="https://itpm-wiki.mos.ru/pages/viewpage.action?pageId=487497486" TargetMode="External"/><Relationship Id="rId39" Type="http://schemas.openxmlformats.org/officeDocument/2006/relationships/hyperlink" Target="https://itpm-wiki.mos.ru/pages/viewpage.action?pageId=487496869" TargetMode="External"/><Relationship Id="rId40" Type="http://schemas.openxmlformats.org/officeDocument/2006/relationships/hyperlink" Target="https://itpm-wiki.mos.ru/pages/viewpage.action?pageId=487496905" TargetMode="External"/><Relationship Id="rId41" Type="http://schemas.openxmlformats.org/officeDocument/2006/relationships/hyperlink" Target="https://itpm-wiki.mos.ru/pages/viewpage.action?pageId=487496896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ru-RU</dc:language>
  <cp:lastModifiedBy>Ксения Гончар</cp:lastModifiedBy>
  <cp:revision>11</cp:revision>
  <dcterms:created xsi:type="dcterms:W3CDTF">2026-01-26T12:04:52Z</dcterms:created>
  <dcterms:modified xsi:type="dcterms:W3CDTF">2026-05-25T06:50:15Z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