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AC7AC0" w:rsidRDefault="003A04B6">
      <w:pPr>
        <w:pStyle w:val="a3"/>
        <w:spacing w:before="86"/>
        <w:rPr>
          <w:b/>
        </w:rPr>
      </w:pPr>
      <w:r w:rsidRPr="00AC7AC0">
        <w:t>ТБП</w:t>
      </w:r>
      <w:proofErr w:type="gramStart"/>
      <w:r w:rsidRPr="00AC7AC0">
        <w:t>90:Рассмотреть</w:t>
      </w:r>
      <w:proofErr w:type="gramEnd"/>
      <w:r w:rsidRPr="00AC7AC0">
        <w:t xml:space="preserve"> вопрос о разъяснении СА</w:t>
      </w:r>
    </w:p>
    <w:tbl>
      <w:tblPr>
        <w:tblStyle w:val="TableNormal"/>
        <w:tblW w:w="0" w:type="auto"/>
        <w:tblInd w:w="-6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587"/>
        <w:gridCol w:w="9028"/>
      </w:tblGrid>
      <w:tr w:rsidR="00AC7AC0" w:rsidRPr="00AC7AC0" w:rsidTr="003A04B6">
        <w:trPr>
          <w:trHeight w:val="610"/>
        </w:trPr>
        <w:tc>
          <w:tcPr>
            <w:tcW w:w="1587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AC7AC0" w:rsidRDefault="006A255B">
            <w:pPr>
              <w:pStyle w:val="TableParagraph"/>
              <w:spacing w:before="118" w:line="280" w:lineRule="auto"/>
              <w:ind w:left="152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w w:val="90"/>
                <w:sz w:val="24"/>
                <w:szCs w:val="24"/>
              </w:rPr>
              <w:t>Наименование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left w:val="single" w:sz="6" w:space="0" w:color="C0C6D0"/>
              <w:right w:val="single" w:sz="4" w:space="0" w:color="C0C6D0"/>
            </w:tcBorders>
          </w:tcPr>
          <w:p w:rsidR="006A0B97" w:rsidRPr="00AC7AC0" w:rsidRDefault="003A04B6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  <w:r w:rsidRPr="00AC7AC0">
              <w:rPr>
                <w:sz w:val="24"/>
                <w:szCs w:val="24"/>
              </w:rPr>
              <w:t>ТБП</w:t>
            </w:r>
            <w:proofErr w:type="gramStart"/>
            <w:r w:rsidRPr="00AC7AC0">
              <w:rPr>
                <w:sz w:val="24"/>
                <w:szCs w:val="24"/>
              </w:rPr>
              <w:t>90:Рассмотреть</w:t>
            </w:r>
            <w:proofErr w:type="gramEnd"/>
            <w:r w:rsidRPr="00AC7AC0">
              <w:rPr>
                <w:sz w:val="24"/>
                <w:szCs w:val="24"/>
              </w:rPr>
              <w:t xml:space="preserve"> вопрос о разъяснении СА</w:t>
            </w:r>
          </w:p>
        </w:tc>
      </w:tr>
      <w:tr w:rsidR="00AC7AC0" w:rsidRPr="00AC7AC0" w:rsidTr="003A04B6">
        <w:trPr>
          <w:trHeight w:val="409"/>
        </w:trPr>
        <w:tc>
          <w:tcPr>
            <w:tcW w:w="1587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AC7AC0" w:rsidRDefault="006A255B">
            <w:pPr>
              <w:pStyle w:val="TableParagraph"/>
              <w:spacing w:before="118"/>
              <w:ind w:left="152"/>
              <w:rPr>
                <w:b/>
                <w:sz w:val="24"/>
                <w:szCs w:val="24"/>
              </w:rPr>
            </w:pPr>
            <w:r w:rsidRPr="00AC7AC0">
              <w:rPr>
                <w:b/>
                <w:w w:val="90"/>
                <w:sz w:val="24"/>
                <w:szCs w:val="24"/>
              </w:rPr>
              <w:t>Суть</w:t>
            </w:r>
            <w:r w:rsidRPr="00AC7AC0">
              <w:rPr>
                <w:b/>
                <w:spacing w:val="3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AC7AC0" w:rsidRDefault="003A04B6" w:rsidP="00791E2A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  <w:r w:rsidRPr="00AC7AC0">
              <w:rPr>
                <w:sz w:val="24"/>
                <w:szCs w:val="24"/>
                <w:shd w:val="clear" w:color="auto" w:fill="FFFFFF"/>
              </w:rPr>
              <w:t>Процесс начинается с возникновения необходимости разъяснить судебный акт. Такая необходимость может возникнуть в связи с поступлением в суд соответствующего ходатайства. Судья осуществляет две проверки: проверяет, приведено ли решение в исполнение, а также проверяет, не истек ли срок принудительного исполнения. Если решение еще не было исполнено и срок не истек, судья принимает определение о разъяснении СА; если же решение уже исполнено/срок принудительного исполнения истек - судья принимает определение об отказе в удовлетворении ходатайства. Принятое определение направляется ЛУВД/Приставу-исполнителю/Иному лицу, после чего процесс завершается.</w:t>
            </w:r>
          </w:p>
        </w:tc>
      </w:tr>
      <w:tr w:rsidR="00AC7AC0" w:rsidRPr="00AC7AC0" w:rsidTr="003A04B6">
        <w:trPr>
          <w:trHeight w:val="615"/>
        </w:trPr>
        <w:tc>
          <w:tcPr>
            <w:tcW w:w="1587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AC7AC0" w:rsidRDefault="006A255B">
            <w:pPr>
              <w:pStyle w:val="TableParagraph"/>
              <w:spacing w:before="121" w:line="280" w:lineRule="auto"/>
              <w:ind w:left="152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w w:val="90"/>
                <w:sz w:val="24"/>
                <w:szCs w:val="24"/>
              </w:rPr>
              <w:t>Участники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AC7AC0" w:rsidRDefault="003A04B6" w:rsidP="00153B9D">
            <w:pPr>
              <w:rPr>
                <w:sz w:val="24"/>
                <w:szCs w:val="24"/>
              </w:rPr>
            </w:pPr>
            <w:r w:rsidRPr="00AC7AC0">
              <w:rPr>
                <w:sz w:val="24"/>
                <w:szCs w:val="24"/>
              </w:rPr>
              <w:t>Судья, канцелярия, ЛУВД</w:t>
            </w:r>
          </w:p>
        </w:tc>
      </w:tr>
      <w:tr w:rsidR="00AC7AC0" w:rsidRPr="00AC7AC0" w:rsidTr="003A04B6">
        <w:trPr>
          <w:trHeight w:val="738"/>
        </w:trPr>
        <w:tc>
          <w:tcPr>
            <w:tcW w:w="1587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AC7AC0" w:rsidRDefault="006A255B">
            <w:pPr>
              <w:pStyle w:val="TableParagraph"/>
              <w:spacing w:before="121"/>
              <w:ind w:left="152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5"/>
                <w:sz w:val="24"/>
                <w:szCs w:val="24"/>
              </w:rPr>
              <w:t>НПА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3A04B6" w:rsidRPr="003A04B6" w:rsidRDefault="003A04B6" w:rsidP="003A04B6">
            <w:pPr>
              <w:widowControl/>
              <w:shd w:val="clear" w:color="auto" w:fill="FFFFFF"/>
              <w:autoSpaceDE/>
              <w:autoSpaceDN/>
              <w:spacing w:after="60" w:line="240" w:lineRule="atLeast"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"Арбитражный процессуальный кодекс Российской Федерации" от 24.07.2002 N 95-ФЗ</w:t>
            </w:r>
          </w:p>
          <w:p w:rsidR="003A04B6" w:rsidRPr="003A04B6" w:rsidRDefault="003A04B6" w:rsidP="003A04B6">
            <w:pPr>
              <w:widowControl/>
              <w:shd w:val="clear" w:color="auto" w:fill="FFFFFF"/>
              <w:autoSpaceDE/>
              <w:autoSpaceDN/>
              <w:spacing w:after="60" w:line="240" w:lineRule="atLeast"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Постановление Пленума Верховного Суда РФ от 30.06.2020 N 13 "О применении Арбитражного процессуального кодекса Российской Федерации при рассмотрении дел в арбитражном суде кассационной инстанции"</w:t>
            </w:r>
          </w:p>
          <w:p w:rsidR="003A04B6" w:rsidRPr="003A04B6" w:rsidRDefault="003A04B6" w:rsidP="003A04B6">
            <w:pPr>
              <w:widowControl/>
              <w:shd w:val="clear" w:color="auto" w:fill="FFFFFF"/>
              <w:autoSpaceDE/>
              <w:autoSpaceDN/>
              <w:spacing w:after="60" w:line="240" w:lineRule="atLeast"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Постановление Пленума ВАС РФ от 17.02.2011 N 12 (ред. от 27.06.2017) "О некоторых вопросах применения Арбитражного процессуального кодекса Российской Федерации в редакции Федерального закона от 27.07.2010 N 228-ФЗ "О внесении изменений в Арбитражный процессуальный кодекс Российской Федерации"</w:t>
            </w:r>
          </w:p>
          <w:p w:rsidR="006A0B97" w:rsidRPr="00AC7AC0" w:rsidRDefault="006A0B97" w:rsidP="00153B9D">
            <w:pPr>
              <w:widowControl/>
              <w:shd w:val="clear" w:color="auto" w:fill="FFFFFF"/>
              <w:autoSpaceDE/>
              <w:autoSpaceDN/>
              <w:spacing w:after="60" w:line="240" w:lineRule="atLeast"/>
              <w:rPr>
                <w:sz w:val="24"/>
                <w:szCs w:val="24"/>
                <w:lang w:val="en-US" w:eastAsia="ru-RU"/>
              </w:rPr>
            </w:pPr>
          </w:p>
        </w:tc>
      </w:tr>
    </w:tbl>
    <w:p w:rsidR="006A0B97" w:rsidRPr="00AC7AC0" w:rsidRDefault="006A0B97">
      <w:pPr>
        <w:pStyle w:val="a3"/>
        <w:spacing w:before="38"/>
        <w:rPr>
          <w:b/>
        </w:rPr>
      </w:pPr>
    </w:p>
    <w:p w:rsidR="006A0B97" w:rsidRPr="00AC7AC0" w:rsidRDefault="006A255B">
      <w:pPr>
        <w:pStyle w:val="a3"/>
        <w:ind w:left="240"/>
      </w:pPr>
      <w:r w:rsidRPr="00AC7AC0">
        <w:t xml:space="preserve">1.Реестр </w:t>
      </w:r>
      <w:r w:rsidRPr="00AC7AC0">
        <w:rPr>
          <w:spacing w:val="-5"/>
        </w:rPr>
        <w:t>US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B0301C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B0301C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B0301C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B0301C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инициировать рассмотрение вопроса о разъяснении судебного акта при поступлении заявления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разъяснение положений решения в соответствии со ст. 179 АПК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чтобы система автоматически проверяла, приведено ли решение в исполнение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разъяснение решения допускалось только если оно не приведено в исполнение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проверить срок принудительного исполнения судебного акта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определить допускается ли разъяснение решения в соответствии с ч. 2 ст. 179 АПК РФ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чтобы система автоматически формировала отчет по решению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получить полную информацию для принятия решения о разъяснении судебного акта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проверить выводы системы и скорректировать их при необходимости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достоверность данных перед принятием решения о разъяснении СА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принять определение о разъяснении судебного акта в течение 10 дней со дня поступления заявления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соблюдение процессуальных сроков согласно ч. 4 ст. 179 АПК РФ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чтобы определение о разъяснении автоматически генерировалось на основе шаблона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единообразие формы документа и сэкономить время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принять определение об отказе в удовлетворении ходатайства о разъяснении СА с указанием причин отказа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мотивированное решение в случае отсутствия оснований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направить определение суда о разъяснении судебного акта ЛУВД/Приставу-исполнителю/Иному лицу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своевременное вручение документа заинтересованным сторонам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ЛУВД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получить определение суда о разъяснении судебного акта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изучить его содержание и правильно реализовать положения разъясненного решения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ЛУВД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чтобы система фиксировала время ознакомления с определением и уведомляла пользователя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учет соблюдения процессуальных сроков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ЛУВД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определить наличие оснований для обжалования определения о разъяснении СА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принять решение о дальнейших процессуальных действиях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Пристав-исполнитель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получить определение суда о разъяснении судебного акта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правильно понимать и исполнять требования судебного решения с учетом внесенных разъяснений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Пристав-исполнитель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чтобы система фиксировала время моего ознакомления с определением и уведомляла об этом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обеспечить документальное подтверждение получения документа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Пристав-исполнитель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оценить основания для обжалования определения о разъяснении СА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принять решение о необходимости кассационного обжалования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Иное лицо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получить определение суда о разъяснении судебного акта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точно понимать разъясненные положения судебного решения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Иное лицо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чтобы система автоматически регистрировала время моего ознакомления с определением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иметь подтверждение своевременного получения документа</w:t>
            </w:r>
          </w:p>
        </w:tc>
      </w:tr>
      <w:tr w:rsidR="00AC7AC0" w:rsidRPr="00B0301C" w:rsidTr="00B0301C"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Иное лицо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определить наличие оснований для обжалования определения о разъяснении СА</w:t>
            </w:r>
          </w:p>
        </w:tc>
        <w:tc>
          <w:tcPr>
            <w:tcW w:w="0" w:type="auto"/>
            <w:hideMark/>
          </w:tcPr>
          <w:p w:rsidR="00B0301C" w:rsidRPr="00B0301C" w:rsidRDefault="00B0301C" w:rsidP="00B0301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0301C">
              <w:rPr>
                <w:sz w:val="24"/>
                <w:szCs w:val="24"/>
                <w:lang w:eastAsia="ru-RU"/>
              </w:rPr>
              <w:t>решить о необходимости обращения в кассационную инстанцию</w:t>
            </w:r>
          </w:p>
        </w:tc>
      </w:tr>
    </w:tbl>
    <w:p w:rsidR="006A0B97" w:rsidRPr="00AC7AC0" w:rsidRDefault="006A0B97">
      <w:pPr>
        <w:pStyle w:val="a3"/>
        <w:spacing w:before="45"/>
      </w:pPr>
    </w:p>
    <w:p w:rsidR="006A0B97" w:rsidRPr="00AC7AC0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AC7AC0">
        <w:rPr>
          <w:sz w:val="24"/>
          <w:szCs w:val="24"/>
        </w:rPr>
        <w:t>Схема</w:t>
      </w:r>
      <w:r w:rsidRPr="00AC7AC0">
        <w:rPr>
          <w:spacing w:val="-5"/>
          <w:sz w:val="24"/>
          <w:szCs w:val="24"/>
        </w:rPr>
        <w:t xml:space="preserve"> </w:t>
      </w:r>
      <w:r w:rsidRPr="00AC7AC0">
        <w:rPr>
          <w:spacing w:val="-2"/>
          <w:sz w:val="24"/>
          <w:szCs w:val="24"/>
        </w:rPr>
        <w:t>процесса</w:t>
      </w:r>
    </w:p>
    <w:p w:rsidR="006A0B97" w:rsidRPr="00AC7AC0" w:rsidRDefault="006A0B97">
      <w:pPr>
        <w:pStyle w:val="a3"/>
        <w:spacing w:before="63"/>
        <w:rPr>
          <w:lang w:val="en-US"/>
        </w:rPr>
      </w:pPr>
    </w:p>
    <w:p w:rsidR="006A0B97" w:rsidRPr="00AC7AC0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AC7AC0">
        <w:rPr>
          <w:sz w:val="24"/>
          <w:szCs w:val="24"/>
        </w:rPr>
        <w:t>Описание</w:t>
      </w:r>
      <w:r w:rsidRPr="00AC7AC0">
        <w:rPr>
          <w:spacing w:val="-7"/>
          <w:sz w:val="24"/>
          <w:szCs w:val="24"/>
        </w:rPr>
        <w:t xml:space="preserve"> </w:t>
      </w:r>
      <w:r w:rsidRPr="00AC7AC0">
        <w:rPr>
          <w:sz w:val="24"/>
          <w:szCs w:val="24"/>
        </w:rPr>
        <w:t>схемы</w:t>
      </w:r>
      <w:r w:rsidRPr="00AC7AC0">
        <w:rPr>
          <w:spacing w:val="-6"/>
          <w:sz w:val="24"/>
          <w:szCs w:val="24"/>
        </w:rPr>
        <w:t xml:space="preserve"> </w:t>
      </w:r>
      <w:r w:rsidRPr="00AC7AC0">
        <w:rPr>
          <w:spacing w:val="-2"/>
          <w:sz w:val="24"/>
          <w:szCs w:val="24"/>
        </w:rPr>
        <w:t>процесса</w:t>
      </w:r>
    </w:p>
    <w:tbl>
      <w:tblPr>
        <w:tblW w:w="18060" w:type="dxa"/>
        <w:tblInd w:w="-6" w:type="dxa"/>
        <w:tblLook w:val="04A0" w:firstRow="1" w:lastRow="0" w:firstColumn="1" w:lastColumn="0" w:noHBand="0" w:noVBand="1"/>
      </w:tblPr>
      <w:tblGrid>
        <w:gridCol w:w="1300"/>
        <w:gridCol w:w="4820"/>
        <w:gridCol w:w="8640"/>
        <w:gridCol w:w="3300"/>
      </w:tblGrid>
      <w:tr w:rsidR="00AC7AC0" w:rsidRPr="003A04B6" w:rsidTr="003A04B6">
        <w:trPr>
          <w:trHeight w:val="624"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Необходимо рассмотреть вопрос о разъяснении СА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Простое начальное событие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Инициировать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рассмотрение заявления о разъяснении судебного акта и запуск проверок условий допустимости.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Запустить проверку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Пользовательская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Запустить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в системе процедуры проверки условий допустимости разъяснения; результат</w:t>
            </w:r>
            <w:r w:rsidR="000215DB" w:rsidRPr="00AC7AC0">
              <w:rPr>
                <w:sz w:val="24"/>
                <w:szCs w:val="24"/>
                <w:lang w:eastAsia="ru-RU"/>
              </w:rPr>
              <w:t>,</w:t>
            </w:r>
            <w:r w:rsidRPr="003A04B6">
              <w:rPr>
                <w:sz w:val="24"/>
                <w:szCs w:val="24"/>
                <w:lang w:eastAsia="ru-RU"/>
              </w:rPr>
              <w:t xml:space="preserve"> проверки инициированы.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Проверить, приведено ли решение в исполнение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Сервисная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, приведён ли судебный акт в исполнение; результат </w:t>
            </w:r>
            <w:r w:rsidR="000215DB" w:rsidRPr="00AC7AC0">
              <w:rPr>
                <w:sz w:val="24"/>
                <w:szCs w:val="24"/>
                <w:lang w:eastAsia="ru-RU"/>
              </w:rPr>
              <w:t>-</w:t>
            </w:r>
            <w:r w:rsidRPr="003A04B6">
              <w:rPr>
                <w:sz w:val="24"/>
                <w:szCs w:val="24"/>
                <w:lang w:eastAsia="ru-RU"/>
              </w:rPr>
              <w:t xml:space="preserve"> признак исполнения зафиксирован.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Решение исполнено?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Разветвить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процесс в зависимости от признака исполнения судебного акта (исполнено/не исполнено).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5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15DC" w:rsidRDefault="001C15DC" w:rsidP="001C15DC">
            <w:pPr>
              <w:rPr>
                <w:rFonts w:ascii="Calibri" w:hAnsi="Calibri" w:cs="Calibri"/>
                <w:color w:val="0000FF"/>
              </w:rPr>
            </w:pPr>
            <w:hyperlink r:id="rId5" w:history="1">
              <w:r>
                <w:rPr>
                  <w:rStyle w:val="a8"/>
                  <w:rFonts w:ascii="Calibri" w:hAnsi="Calibri" w:cs="Calibri"/>
                </w:rPr>
                <w:t>ТБП5.Проверить срок</w:t>
              </w:r>
            </w:hyperlink>
          </w:p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Вызов активности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Назначение: Переход к типовому процессу «Проверить срок»</w:t>
            </w:r>
            <w:r w:rsidR="000215DB" w:rsidRPr="00AC7AC0">
              <w:rPr>
                <w:sz w:val="24"/>
                <w:szCs w:val="24"/>
                <w:lang w:eastAsia="ru-RU"/>
              </w:rPr>
              <w:t>, результатом которого будет отметка о соблюдении/не соблюдении сроков.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Срок принудительного исполнения истек?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Развилка «ИЛИ/ИЛИ»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Разветвить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процесс в зависимости от истечения срока принудительного исполнения (истёк/не истёк).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5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Сходящаяся развилка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Свести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потоки после проверки исполнения судебного акта.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Записать как основание для отказа в удовлетворении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Сервисная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основания для отказа в удовлетворении заявления; результат</w:t>
            </w:r>
            <w:r w:rsidR="000215DB" w:rsidRPr="00AC7AC0">
              <w:rPr>
                <w:sz w:val="24"/>
                <w:szCs w:val="24"/>
                <w:lang w:eastAsia="ru-RU"/>
              </w:rPr>
              <w:t xml:space="preserve">ом будет </w:t>
            </w:r>
            <w:r w:rsidRPr="003A04B6">
              <w:rPr>
                <w:sz w:val="24"/>
                <w:szCs w:val="24"/>
                <w:lang w:eastAsia="ru-RU"/>
              </w:rPr>
              <w:t>основание отказа записано в системе.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Сходящаяся развилка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Свести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потоки после проверки срока принудительного исполнения.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Сформировать протокол проверки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Сервисная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Сформировать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протокол проверки для рассмотрения судьёй; </w:t>
            </w:r>
            <w:proofErr w:type="spellStart"/>
            <w:r w:rsidRPr="003A04B6">
              <w:rPr>
                <w:sz w:val="24"/>
                <w:szCs w:val="24"/>
                <w:lang w:eastAsia="ru-RU"/>
              </w:rPr>
              <w:t>результа</w:t>
            </w:r>
            <w:r w:rsidR="000215DB" w:rsidRPr="00AC7AC0">
              <w:rPr>
                <w:sz w:val="24"/>
                <w:szCs w:val="24"/>
                <w:lang w:eastAsia="ru-RU"/>
              </w:rPr>
              <w:t>татом</w:t>
            </w:r>
            <w:proofErr w:type="spellEnd"/>
            <w:r w:rsidR="000215DB" w:rsidRPr="00AC7AC0">
              <w:rPr>
                <w:sz w:val="24"/>
                <w:szCs w:val="24"/>
                <w:lang w:eastAsia="ru-RU"/>
              </w:rPr>
              <w:t xml:space="preserve"> будет созданный</w:t>
            </w:r>
            <w:r w:rsidRPr="003A04B6">
              <w:rPr>
                <w:sz w:val="24"/>
                <w:szCs w:val="24"/>
                <w:lang w:eastAsia="ru-RU"/>
              </w:rPr>
              <w:t xml:space="preserve"> протокол/отчёт сформирован и доступен в системе.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Протокол проверки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5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15DC" w:rsidRDefault="001C15DC" w:rsidP="001C15DC">
            <w:pPr>
              <w:rPr>
                <w:rFonts w:ascii="Calibri" w:hAnsi="Calibri" w:cs="Calibri"/>
                <w:color w:val="0000FF"/>
              </w:rPr>
            </w:pPr>
            <w:hyperlink r:id="rId6" w:history="1">
              <w:r>
                <w:rPr>
                  <w:rStyle w:val="a8"/>
                  <w:rFonts w:ascii="Calibri" w:hAnsi="Calibri" w:cs="Calibri"/>
                </w:rPr>
                <w:t>ТБП139.Проверить выводы системы</w:t>
              </w:r>
            </w:hyperlink>
          </w:p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Вызов активности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Назначение: Переход к типовому процессу «Проверить выводы системы»</w:t>
            </w:r>
            <w:r w:rsidR="000215DB" w:rsidRPr="00AC7AC0">
              <w:rPr>
                <w:sz w:val="24"/>
                <w:szCs w:val="24"/>
                <w:lang w:eastAsia="ru-RU"/>
              </w:rPr>
              <w:t xml:space="preserve">, результатом которого будут занесенные в систему </w:t>
            </w:r>
            <w:proofErr w:type="spellStart"/>
            <w:r w:rsidR="000215DB" w:rsidRPr="00AC7AC0">
              <w:rPr>
                <w:sz w:val="24"/>
                <w:szCs w:val="24"/>
                <w:lang w:eastAsia="ru-RU"/>
              </w:rPr>
              <w:t>провалидированные</w:t>
            </w:r>
            <w:proofErr w:type="spellEnd"/>
            <w:r w:rsidR="000215DB" w:rsidRPr="00AC7AC0">
              <w:rPr>
                <w:sz w:val="24"/>
                <w:szCs w:val="24"/>
                <w:lang w:eastAsia="ru-RU"/>
              </w:rPr>
              <w:t xml:space="preserve"> данные или отправленный отчет в техническую поддержку о неточности работы и рекомендациями по устранению.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Принять окончательное решение по вопросу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Пользовательская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Принять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решение по заявлению о разъяснении судебного акта; результат</w:t>
            </w:r>
            <w:r w:rsidR="000215DB" w:rsidRPr="00AC7AC0">
              <w:rPr>
                <w:sz w:val="24"/>
                <w:szCs w:val="24"/>
                <w:lang w:eastAsia="ru-RU"/>
              </w:rPr>
              <w:t>ом будет</w:t>
            </w:r>
            <w:r w:rsidRPr="003A04B6">
              <w:rPr>
                <w:sz w:val="24"/>
                <w:szCs w:val="24"/>
                <w:lang w:eastAsia="ru-RU"/>
              </w:rPr>
              <w:t xml:space="preserve"> выбранный вариант решения </w:t>
            </w:r>
            <w:proofErr w:type="spellStart"/>
            <w:r w:rsidRPr="003A04B6">
              <w:rPr>
                <w:sz w:val="24"/>
                <w:szCs w:val="24"/>
                <w:lang w:eastAsia="ru-RU"/>
              </w:rPr>
              <w:t>зафиксирован</w:t>
            </w:r>
            <w:r w:rsidR="00CC2009" w:rsidRPr="00AC7AC0">
              <w:rPr>
                <w:sz w:val="24"/>
                <w:szCs w:val="24"/>
                <w:lang w:eastAsia="ru-RU"/>
              </w:rPr>
              <w:t>ый</w:t>
            </w:r>
            <w:proofErr w:type="spellEnd"/>
            <w:r w:rsidR="000215DB" w:rsidRPr="00AC7AC0">
              <w:rPr>
                <w:sz w:val="24"/>
                <w:szCs w:val="24"/>
                <w:lang w:eastAsia="ru-RU"/>
              </w:rPr>
              <w:t xml:space="preserve"> в системе</w:t>
            </w:r>
            <w:r w:rsidRPr="003A04B6">
              <w:rPr>
                <w:sz w:val="24"/>
                <w:szCs w:val="24"/>
                <w:lang w:eastAsia="ru-RU"/>
              </w:rPr>
              <w:t>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Предложить перейти к принятию определения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Сервисная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Сформировать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и показать судье предложение перейти к подготовке определения; результат</w:t>
            </w:r>
            <w:r w:rsidR="000215DB" w:rsidRPr="00AC7AC0">
              <w:rPr>
                <w:sz w:val="24"/>
                <w:szCs w:val="24"/>
                <w:lang w:eastAsia="ru-RU"/>
              </w:rPr>
              <w:t>ом будет</w:t>
            </w:r>
            <w:r w:rsidRPr="003A04B6">
              <w:rPr>
                <w:sz w:val="24"/>
                <w:szCs w:val="24"/>
                <w:lang w:eastAsia="ru-RU"/>
              </w:rPr>
              <w:t xml:space="preserve"> предложение отображено в интерфейсе.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Система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Подтвердить переход к принятию определения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Пользовательская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Подтвердить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переход к подготовке определения; результат </w:t>
            </w:r>
            <w:r w:rsidR="000215DB" w:rsidRPr="00AC7AC0">
              <w:rPr>
                <w:sz w:val="24"/>
                <w:szCs w:val="24"/>
                <w:lang w:eastAsia="ru-RU"/>
              </w:rPr>
              <w:t>-</w:t>
            </w:r>
            <w:r w:rsidRPr="003A04B6">
              <w:rPr>
                <w:sz w:val="24"/>
                <w:szCs w:val="24"/>
                <w:lang w:eastAsia="ru-RU"/>
              </w:rPr>
              <w:t xml:space="preserve"> инициирован запуск процесса подготовки определения.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018C" w:rsidRDefault="0083018C" w:rsidP="0083018C">
            <w:pPr>
              <w:rPr>
                <w:rFonts w:ascii="Calibri" w:hAnsi="Calibri" w:cs="Calibri"/>
                <w:color w:val="0000FF"/>
              </w:rPr>
            </w:pPr>
            <w:hyperlink r:id="rId7" w:history="1">
              <w:r>
                <w:rPr>
                  <w:rStyle w:val="a8"/>
                  <w:rFonts w:ascii="Calibri" w:hAnsi="Calibri" w:cs="Calibri"/>
                </w:rPr>
                <w:t>ТБП80.Принять СА</w:t>
              </w:r>
            </w:hyperlink>
          </w:p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bookmarkStart w:id="0" w:name="_GoBack"/>
            <w:bookmarkEnd w:id="0"/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Вызов активности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Назначение: Переход к типовому процессу «Принять СА»</w:t>
            </w:r>
            <w:r w:rsidR="00CC2009" w:rsidRPr="00AC7AC0">
              <w:rPr>
                <w:sz w:val="24"/>
                <w:szCs w:val="24"/>
                <w:lang w:eastAsia="ru-RU"/>
              </w:rPr>
              <w:t>, результатом будет принятый и подписанный судебный акт, отправленный сторонам для ознакомления и опубликованный.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br/>
              <w:t>Исходящие данные: Определение о разъяснении СА, Определение об отказе в удовлетворении ходатайства о разъяснении СА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Завершить процесс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2009" w:rsidRPr="00AC7AC0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Пользовательская задача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выполнение процесса в системе; результ</w:t>
            </w:r>
            <w:r w:rsidR="00CC2009" w:rsidRPr="00AC7AC0">
              <w:rPr>
                <w:sz w:val="24"/>
                <w:szCs w:val="24"/>
                <w:lang w:eastAsia="ru-RU"/>
              </w:rPr>
              <w:t>атом будет</w:t>
            </w:r>
            <w:r w:rsidRPr="003A04B6">
              <w:rPr>
                <w:sz w:val="24"/>
                <w:szCs w:val="24"/>
                <w:lang w:eastAsia="ru-RU"/>
              </w:rPr>
              <w:t xml:space="preserve"> </w:t>
            </w:r>
            <w:r w:rsidR="00CC2009" w:rsidRPr="00AC7AC0">
              <w:rPr>
                <w:sz w:val="24"/>
                <w:szCs w:val="24"/>
                <w:lang w:eastAsia="ru-RU"/>
              </w:rPr>
              <w:t>статус</w:t>
            </w:r>
            <w:r w:rsidRPr="003A04B6">
              <w:rPr>
                <w:sz w:val="24"/>
                <w:szCs w:val="24"/>
                <w:lang w:eastAsia="ru-RU"/>
              </w:rPr>
              <w:t xml:space="preserve"> закрыт и зафиксирован</w:t>
            </w:r>
            <w:r w:rsidR="00CC2009" w:rsidRPr="00AC7AC0">
              <w:rPr>
                <w:sz w:val="24"/>
                <w:szCs w:val="24"/>
                <w:lang w:eastAsia="ru-RU"/>
              </w:rPr>
              <w:t>ный статус в системе</w:t>
            </w:r>
          </w:p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  <w:tr w:rsidR="00AC7AC0" w:rsidRPr="003A04B6" w:rsidTr="003A04B6">
        <w:trPr>
          <w:trHeight w:val="1872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Вопрос о разъяснении СА рассмотрен. Определение вынесено и направлено ЛУВД/Приставу-исполнителю/Иному лицу</w:t>
            </w:r>
          </w:p>
        </w:tc>
        <w:tc>
          <w:tcPr>
            <w:tcW w:w="8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Тип: Простое завершающее событие</w:t>
            </w:r>
            <w:r w:rsidRPr="003A04B6">
              <w:rPr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3A04B6">
              <w:rPr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3A04B6">
              <w:rPr>
                <w:sz w:val="24"/>
                <w:szCs w:val="24"/>
                <w:lang w:eastAsia="ru-RU"/>
              </w:rPr>
              <w:t xml:space="preserve"> завершение процесса рассмотрения вопроса о разъяснении судебного акта.</w:t>
            </w:r>
            <w:r w:rsidRPr="003A04B6">
              <w:rPr>
                <w:sz w:val="24"/>
                <w:szCs w:val="24"/>
                <w:lang w:eastAsia="ru-RU"/>
              </w:rPr>
              <w:br/>
              <w:t>Роль: Судья</w:t>
            </w:r>
            <w:r w:rsidRPr="003A04B6">
              <w:rPr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3A04B6">
              <w:rPr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A04B6" w:rsidRPr="003A04B6" w:rsidRDefault="003A04B6" w:rsidP="003A0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A04B6">
              <w:rPr>
                <w:sz w:val="24"/>
                <w:szCs w:val="24"/>
                <w:lang w:eastAsia="ru-RU"/>
              </w:rPr>
              <w:t> </w:t>
            </w:r>
          </w:p>
        </w:tc>
      </w:tr>
    </w:tbl>
    <w:p w:rsidR="006A0B97" w:rsidRPr="00AC7AC0" w:rsidRDefault="006A0B97" w:rsidP="00A357D5">
      <w:pPr>
        <w:rPr>
          <w:sz w:val="24"/>
          <w:szCs w:val="24"/>
        </w:rPr>
      </w:pPr>
    </w:p>
    <w:p w:rsidR="006A0B97" w:rsidRPr="00AC7AC0" w:rsidRDefault="006A255B">
      <w:pPr>
        <w:pStyle w:val="a5"/>
        <w:numPr>
          <w:ilvl w:val="1"/>
          <w:numId w:val="9"/>
        </w:numPr>
        <w:tabs>
          <w:tab w:val="left" w:pos="660"/>
        </w:tabs>
        <w:spacing w:line="280" w:lineRule="auto"/>
        <w:ind w:left="240" w:right="342" w:firstLine="0"/>
        <w:rPr>
          <w:sz w:val="24"/>
          <w:szCs w:val="24"/>
        </w:rPr>
      </w:pPr>
      <w:r w:rsidRPr="00AC7AC0">
        <w:rPr>
          <w:sz w:val="24"/>
          <w:szCs w:val="24"/>
        </w:rPr>
        <w:t>Реестр</w:t>
      </w:r>
      <w:r w:rsidRPr="00AC7AC0">
        <w:rPr>
          <w:spacing w:val="-4"/>
          <w:sz w:val="24"/>
          <w:szCs w:val="24"/>
        </w:rPr>
        <w:t xml:space="preserve"> </w:t>
      </w:r>
      <w:r w:rsidRPr="00AC7AC0">
        <w:rPr>
          <w:sz w:val="24"/>
          <w:szCs w:val="24"/>
        </w:rPr>
        <w:t>UC</w:t>
      </w:r>
      <w:r w:rsidRPr="00AC7AC0">
        <w:rPr>
          <w:spacing w:val="40"/>
          <w:sz w:val="24"/>
          <w:szCs w:val="24"/>
        </w:rPr>
        <w:t xml:space="preserve"> </w:t>
      </w:r>
      <w:r w:rsidRPr="00AC7AC0">
        <w:rPr>
          <w:sz w:val="24"/>
          <w:szCs w:val="24"/>
        </w:rPr>
        <w:t>(в</w:t>
      </w:r>
      <w:r w:rsidRPr="00AC7AC0">
        <w:rPr>
          <w:spacing w:val="-5"/>
          <w:sz w:val="24"/>
          <w:szCs w:val="24"/>
        </w:rPr>
        <w:t xml:space="preserve"> </w:t>
      </w:r>
      <w:r w:rsidRPr="00AC7AC0">
        <w:rPr>
          <w:sz w:val="24"/>
          <w:szCs w:val="24"/>
        </w:rPr>
        <w:t>части</w:t>
      </w:r>
      <w:r w:rsidRPr="00AC7AC0">
        <w:rPr>
          <w:spacing w:val="-5"/>
          <w:sz w:val="24"/>
          <w:szCs w:val="24"/>
        </w:rPr>
        <w:t xml:space="preserve"> </w:t>
      </w:r>
      <w:r w:rsidRPr="00AC7AC0">
        <w:rPr>
          <w:sz w:val="24"/>
          <w:szCs w:val="24"/>
        </w:rPr>
        <w:t>выполняемых</w:t>
      </w:r>
      <w:r w:rsidRPr="00AC7AC0">
        <w:rPr>
          <w:spacing w:val="40"/>
          <w:sz w:val="24"/>
          <w:szCs w:val="24"/>
        </w:rPr>
        <w:t xml:space="preserve"> </w:t>
      </w:r>
      <w:r w:rsidRPr="00AC7AC0">
        <w:rPr>
          <w:sz w:val="24"/>
          <w:szCs w:val="24"/>
        </w:rPr>
        <w:t>пользователем</w:t>
      </w:r>
      <w:r w:rsidRPr="00AC7AC0">
        <w:rPr>
          <w:spacing w:val="-5"/>
          <w:sz w:val="24"/>
          <w:szCs w:val="24"/>
        </w:rPr>
        <w:t xml:space="preserve"> </w:t>
      </w:r>
      <w:r w:rsidRPr="00AC7AC0">
        <w:rPr>
          <w:sz w:val="24"/>
          <w:szCs w:val="24"/>
        </w:rPr>
        <w:t>задач</w:t>
      </w:r>
      <w:r w:rsidRPr="00AC7AC0">
        <w:rPr>
          <w:spacing w:val="-5"/>
          <w:sz w:val="24"/>
          <w:szCs w:val="24"/>
        </w:rPr>
        <w:t xml:space="preserve"> </w:t>
      </w:r>
      <w:r w:rsidRPr="00AC7AC0">
        <w:rPr>
          <w:sz w:val="24"/>
          <w:szCs w:val="24"/>
        </w:rPr>
        <w:t>и</w:t>
      </w:r>
      <w:r w:rsidRPr="00AC7AC0">
        <w:rPr>
          <w:spacing w:val="-5"/>
          <w:sz w:val="24"/>
          <w:szCs w:val="24"/>
        </w:rPr>
        <w:t xml:space="preserve"> </w:t>
      </w:r>
      <w:r w:rsidRPr="00AC7AC0">
        <w:rPr>
          <w:sz w:val="24"/>
          <w:szCs w:val="24"/>
        </w:rPr>
        <w:t>рекомендованной</w:t>
      </w:r>
      <w:r w:rsidRPr="00AC7AC0">
        <w:rPr>
          <w:spacing w:val="-5"/>
          <w:sz w:val="24"/>
          <w:szCs w:val="24"/>
        </w:rPr>
        <w:t xml:space="preserve"> </w:t>
      </w:r>
      <w:r w:rsidRPr="00AC7AC0">
        <w:rPr>
          <w:sz w:val="24"/>
          <w:szCs w:val="24"/>
        </w:rPr>
        <w:t xml:space="preserve">функциональности </w:t>
      </w:r>
      <w:r w:rsidRPr="00AC7AC0">
        <w:rPr>
          <w:spacing w:val="-2"/>
          <w:sz w:val="24"/>
          <w:szCs w:val="24"/>
        </w:rPr>
        <w:t>Системы)</w:t>
      </w:r>
    </w:p>
    <w:p w:rsidR="006A0B97" w:rsidRPr="00AC7AC0" w:rsidRDefault="006A255B">
      <w:pPr>
        <w:pStyle w:val="a3"/>
        <w:spacing w:before="151" w:line="280" w:lineRule="auto"/>
        <w:ind w:left="240" w:right="328"/>
      </w:pPr>
      <w:r w:rsidRPr="00AC7AC0">
        <w:t>UC-001:</w:t>
      </w:r>
      <w:r w:rsidRPr="00AC7AC0">
        <w:rPr>
          <w:spacing w:val="-6"/>
        </w:rPr>
        <w:t xml:space="preserve"> </w:t>
      </w:r>
    </w:p>
    <w:p w:rsidR="006A0B97" w:rsidRPr="00AC7AC0" w:rsidRDefault="006A0B97">
      <w:pPr>
        <w:pStyle w:val="a3"/>
        <w:spacing w:before="2"/>
      </w:pPr>
    </w:p>
    <w:tbl>
      <w:tblPr>
        <w:tblStyle w:val="TableNormal"/>
        <w:tblW w:w="0" w:type="auto"/>
        <w:tblInd w:w="250" w:type="dxa"/>
        <w:tblBorders>
          <w:top w:val="single" w:sz="6" w:space="0" w:color="C0C6D0"/>
          <w:left w:val="single" w:sz="6" w:space="0" w:color="C0C6D0"/>
          <w:bottom w:val="single" w:sz="6" w:space="0" w:color="C0C6D0"/>
          <w:right w:val="single" w:sz="6" w:space="0" w:color="C0C6D0"/>
          <w:insideH w:val="single" w:sz="6" w:space="0" w:color="C0C6D0"/>
          <w:insideV w:val="single" w:sz="6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481"/>
        <w:gridCol w:w="8833"/>
      </w:tblGrid>
      <w:tr w:rsidR="00AC7AC0" w:rsidRPr="00AC7AC0" w:rsidTr="00A12027">
        <w:trPr>
          <w:trHeight w:val="413"/>
        </w:trPr>
        <w:tc>
          <w:tcPr>
            <w:tcW w:w="1481" w:type="dxa"/>
            <w:tcBorders>
              <w:left w:val="single" w:sz="4" w:space="0" w:color="C0C6D0"/>
            </w:tcBorders>
            <w:shd w:val="clear" w:color="auto" w:fill="F3F4F7"/>
          </w:tcPr>
          <w:p w:rsidR="006A0B97" w:rsidRPr="00AC7AC0" w:rsidRDefault="006A255B">
            <w:pPr>
              <w:pStyle w:val="TableParagraph"/>
              <w:spacing w:before="121"/>
              <w:ind w:left="152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4"/>
                <w:sz w:val="24"/>
                <w:szCs w:val="24"/>
              </w:rPr>
              <w:t>Поле</w:t>
            </w:r>
          </w:p>
        </w:tc>
        <w:tc>
          <w:tcPr>
            <w:tcW w:w="8833" w:type="dxa"/>
            <w:tcBorders>
              <w:right w:val="single" w:sz="4" w:space="0" w:color="C0C6D0"/>
            </w:tcBorders>
            <w:shd w:val="clear" w:color="auto" w:fill="F3F4F7"/>
          </w:tcPr>
          <w:p w:rsidR="006A0B97" w:rsidRPr="00AC7AC0" w:rsidRDefault="006A255B">
            <w:pPr>
              <w:pStyle w:val="TableParagraph"/>
              <w:spacing w:before="121"/>
              <w:ind w:left="153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sz w:val="24"/>
                <w:szCs w:val="24"/>
              </w:rPr>
              <w:t>Значение</w:t>
            </w:r>
          </w:p>
        </w:tc>
      </w:tr>
      <w:tr w:rsidR="00AC7AC0" w:rsidRPr="00AC7AC0" w:rsidTr="00A12027">
        <w:trPr>
          <w:trHeight w:val="349"/>
        </w:trPr>
        <w:tc>
          <w:tcPr>
            <w:tcW w:w="1481" w:type="dxa"/>
            <w:tcBorders>
              <w:left w:val="single" w:sz="4" w:space="0" w:color="C0C6D0"/>
              <w:bottom w:val="single" w:sz="8" w:space="0" w:color="C0C6D0"/>
            </w:tcBorders>
          </w:tcPr>
          <w:p w:rsidR="006A0B97" w:rsidRPr="00AC7AC0" w:rsidRDefault="006A255B">
            <w:pPr>
              <w:pStyle w:val="TableParagraph"/>
              <w:spacing w:before="90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w w:val="90"/>
                <w:sz w:val="24"/>
                <w:szCs w:val="24"/>
              </w:rPr>
              <w:t>№</w:t>
            </w:r>
            <w:r w:rsidRPr="00AC7AC0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AC7AC0">
              <w:rPr>
                <w:b/>
                <w:w w:val="90"/>
                <w:sz w:val="24"/>
                <w:szCs w:val="24"/>
              </w:rPr>
              <w:t>шага</w:t>
            </w:r>
            <w:r w:rsidRPr="00AC7AC0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w w:val="90"/>
                <w:sz w:val="24"/>
                <w:szCs w:val="24"/>
              </w:rPr>
              <w:t>процесса</w:t>
            </w:r>
          </w:p>
        </w:tc>
        <w:tc>
          <w:tcPr>
            <w:tcW w:w="8833" w:type="dxa"/>
            <w:tcBorders>
              <w:bottom w:val="single" w:sz="8" w:space="0" w:color="C0C6D0"/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90"/>
              <w:ind w:left="78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550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AC7AC0" w:rsidRDefault="006A255B">
            <w:pPr>
              <w:pStyle w:val="TableParagraph"/>
              <w:spacing w:before="88" w:line="280" w:lineRule="auto"/>
              <w:ind w:left="77" w:right="140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w w:val="90"/>
                <w:sz w:val="24"/>
                <w:szCs w:val="24"/>
              </w:rPr>
              <w:t>Выполняемая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задача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88" w:line="280" w:lineRule="auto"/>
              <w:ind w:left="78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550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AC7AC0" w:rsidRDefault="006A255B">
            <w:pPr>
              <w:pStyle w:val="TableParagraph"/>
              <w:spacing w:before="88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4"/>
                <w:sz w:val="24"/>
                <w:szCs w:val="24"/>
              </w:rPr>
              <w:t>Цель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AC7AC0" w:rsidRDefault="006A0B97" w:rsidP="003168C0">
            <w:pPr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755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</w:tcBorders>
          </w:tcPr>
          <w:p w:rsidR="006A0B97" w:rsidRPr="00AC7AC0" w:rsidRDefault="006A255B">
            <w:pPr>
              <w:pStyle w:val="TableParagraph"/>
              <w:spacing w:before="88" w:line="280" w:lineRule="auto"/>
              <w:ind w:left="77" w:right="140"/>
              <w:rPr>
                <w:b/>
                <w:sz w:val="24"/>
                <w:szCs w:val="24"/>
              </w:rPr>
            </w:pPr>
            <w:r w:rsidRPr="00AC7AC0">
              <w:rPr>
                <w:b/>
                <w:sz w:val="24"/>
                <w:szCs w:val="24"/>
              </w:rPr>
              <w:t>Роль</w:t>
            </w:r>
            <w:r w:rsidRPr="00AC7AC0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AC7AC0">
              <w:rPr>
                <w:b/>
                <w:sz w:val="24"/>
                <w:szCs w:val="24"/>
              </w:rPr>
              <w:t>(в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6"/>
                <w:sz w:val="24"/>
                <w:szCs w:val="24"/>
              </w:rPr>
              <w:t>соответствии</w:t>
            </w:r>
            <w:r w:rsidRPr="00AC7AC0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6"/>
                <w:sz w:val="24"/>
                <w:szCs w:val="24"/>
              </w:rPr>
              <w:t>со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схемой)</w:t>
            </w:r>
          </w:p>
        </w:tc>
        <w:tc>
          <w:tcPr>
            <w:tcW w:w="8833" w:type="dxa"/>
            <w:tcBorders>
              <w:top w:val="single" w:sz="8" w:space="0" w:color="C0C6D0"/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555"/>
        </w:trPr>
        <w:tc>
          <w:tcPr>
            <w:tcW w:w="1481" w:type="dxa"/>
            <w:tcBorders>
              <w:left w:val="single" w:sz="4" w:space="0" w:color="C0C6D0"/>
            </w:tcBorders>
          </w:tcPr>
          <w:p w:rsidR="006A0B97" w:rsidRPr="00AC7AC0" w:rsidRDefault="006A255B">
            <w:pPr>
              <w:pStyle w:val="TableParagraph"/>
              <w:spacing w:before="90" w:line="280" w:lineRule="auto"/>
              <w:ind w:left="77" w:right="140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w w:val="90"/>
                <w:sz w:val="24"/>
                <w:szCs w:val="24"/>
              </w:rPr>
              <w:t>Ожидаемый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результат</w:t>
            </w:r>
          </w:p>
        </w:tc>
        <w:tc>
          <w:tcPr>
            <w:tcW w:w="8833" w:type="dxa"/>
            <w:tcBorders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90" w:line="280" w:lineRule="auto"/>
              <w:ind w:left="78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555"/>
        </w:trPr>
        <w:tc>
          <w:tcPr>
            <w:tcW w:w="1481" w:type="dxa"/>
            <w:tcBorders>
              <w:left w:val="single" w:sz="4" w:space="0" w:color="C0C6D0"/>
            </w:tcBorders>
          </w:tcPr>
          <w:p w:rsidR="006A0B97" w:rsidRPr="00AC7AC0" w:rsidRDefault="006A255B">
            <w:pPr>
              <w:pStyle w:val="TableParagraph"/>
              <w:spacing w:before="90" w:line="280" w:lineRule="auto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sz w:val="24"/>
                <w:szCs w:val="24"/>
              </w:rPr>
              <w:t>Рекомендованная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w w:val="90"/>
                <w:sz w:val="24"/>
                <w:szCs w:val="24"/>
              </w:rPr>
              <w:t>функциональность</w:t>
            </w:r>
          </w:p>
        </w:tc>
        <w:tc>
          <w:tcPr>
            <w:tcW w:w="8833" w:type="dxa"/>
            <w:tcBorders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90" w:line="280" w:lineRule="auto"/>
              <w:ind w:left="78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349"/>
        </w:trPr>
        <w:tc>
          <w:tcPr>
            <w:tcW w:w="1481" w:type="dxa"/>
            <w:tcBorders>
              <w:left w:val="single" w:sz="4" w:space="0" w:color="C0C6D0"/>
              <w:bottom w:val="single" w:sz="8" w:space="0" w:color="C0C6D0"/>
            </w:tcBorders>
          </w:tcPr>
          <w:p w:rsidR="006A0B97" w:rsidRPr="00AC7AC0" w:rsidRDefault="006A255B">
            <w:pPr>
              <w:pStyle w:val="TableParagraph"/>
              <w:spacing w:before="90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sz w:val="24"/>
                <w:szCs w:val="24"/>
              </w:rPr>
              <w:t>Критичность</w:t>
            </w:r>
          </w:p>
        </w:tc>
        <w:tc>
          <w:tcPr>
            <w:tcW w:w="8833" w:type="dxa"/>
            <w:tcBorders>
              <w:bottom w:val="single" w:sz="8" w:space="0" w:color="C0C6D0"/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90"/>
              <w:ind w:left="78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348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AC7AC0" w:rsidRDefault="006A255B">
            <w:pPr>
              <w:pStyle w:val="TableParagraph"/>
              <w:spacing w:before="88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sz w:val="24"/>
                <w:szCs w:val="24"/>
              </w:rPr>
              <w:t>Триггер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549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AC7AC0" w:rsidRDefault="006A255B">
            <w:pPr>
              <w:pStyle w:val="TableParagraph"/>
              <w:spacing w:before="88" w:line="280" w:lineRule="auto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w w:val="90"/>
                <w:sz w:val="24"/>
                <w:szCs w:val="24"/>
              </w:rPr>
              <w:t>Предварительные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условия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AC7AC0" w:rsidRDefault="006A0B97">
            <w:pPr>
              <w:pStyle w:val="TableParagraph"/>
              <w:spacing w:before="88" w:line="280" w:lineRule="auto"/>
              <w:ind w:left="78" w:right="203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549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A12027" w:rsidRPr="00AC7AC0" w:rsidRDefault="00A12027" w:rsidP="00A12027">
            <w:pPr>
              <w:pStyle w:val="TableParagraph"/>
              <w:spacing w:before="88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6"/>
                <w:sz w:val="24"/>
                <w:szCs w:val="24"/>
              </w:rPr>
              <w:t>Основной</w:t>
            </w:r>
            <w:r w:rsidRPr="00AC7AC0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сценарий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A12027" w:rsidRPr="00AC7AC0" w:rsidRDefault="00A12027" w:rsidP="000D085D">
            <w:pPr>
              <w:pStyle w:val="TableParagraph"/>
              <w:tabs>
                <w:tab w:val="left" w:pos="228"/>
              </w:tabs>
              <w:spacing w:before="30"/>
              <w:rPr>
                <w:sz w:val="24"/>
                <w:szCs w:val="24"/>
              </w:rPr>
            </w:pPr>
          </w:p>
        </w:tc>
      </w:tr>
      <w:tr w:rsidR="00AC7AC0" w:rsidRPr="00AC7AC0" w:rsidTr="00A12027">
        <w:trPr>
          <w:trHeight w:val="549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A12027" w:rsidRPr="00AC7AC0" w:rsidRDefault="00A12027" w:rsidP="00A12027">
            <w:pPr>
              <w:pStyle w:val="TableParagraph"/>
              <w:spacing w:before="90" w:line="280" w:lineRule="auto"/>
              <w:ind w:left="77"/>
              <w:rPr>
                <w:b/>
                <w:sz w:val="24"/>
                <w:szCs w:val="24"/>
              </w:rPr>
            </w:pPr>
            <w:r w:rsidRPr="00AC7AC0">
              <w:rPr>
                <w:b/>
                <w:spacing w:val="-2"/>
                <w:sz w:val="24"/>
                <w:szCs w:val="24"/>
              </w:rPr>
              <w:t>Расширение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w w:val="90"/>
                <w:sz w:val="24"/>
                <w:szCs w:val="24"/>
              </w:rPr>
              <w:t>(альтернативный</w:t>
            </w:r>
            <w:r w:rsidRPr="00AC7AC0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AC7AC0">
              <w:rPr>
                <w:b/>
                <w:spacing w:val="-2"/>
                <w:sz w:val="24"/>
                <w:szCs w:val="24"/>
              </w:rPr>
              <w:t>сценарий)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A12027" w:rsidRPr="00AC7AC0" w:rsidRDefault="00A12027" w:rsidP="00A12027">
            <w:pPr>
              <w:pStyle w:val="TableParagraph"/>
              <w:spacing w:before="1" w:line="280" w:lineRule="auto"/>
              <w:ind w:left="78"/>
              <w:rPr>
                <w:sz w:val="24"/>
                <w:szCs w:val="24"/>
              </w:rPr>
            </w:pPr>
          </w:p>
        </w:tc>
      </w:tr>
    </w:tbl>
    <w:p w:rsidR="006A0B97" w:rsidRPr="00AC7AC0" w:rsidRDefault="006A0B97" w:rsidP="00A12027">
      <w:pPr>
        <w:pStyle w:val="TableParagraph"/>
        <w:spacing w:line="280" w:lineRule="auto"/>
        <w:ind w:left="0"/>
        <w:rPr>
          <w:sz w:val="24"/>
          <w:szCs w:val="24"/>
        </w:rPr>
        <w:sectPr w:rsidR="006A0B97" w:rsidRPr="00AC7AC0">
          <w:type w:val="continuous"/>
          <w:pgSz w:w="12240" w:h="15840"/>
          <w:pgMar w:top="940" w:right="720" w:bottom="280" w:left="720" w:header="720" w:footer="720" w:gutter="0"/>
          <w:cols w:space="720"/>
        </w:sectPr>
      </w:pPr>
    </w:p>
    <w:p w:rsidR="006A0B97" w:rsidRPr="00AC7AC0" w:rsidRDefault="006A0B97" w:rsidP="00A12027">
      <w:pPr>
        <w:pStyle w:val="a3"/>
        <w:spacing w:before="4"/>
      </w:pPr>
    </w:p>
    <w:sectPr w:rsidR="006A0B97" w:rsidRPr="00AC7AC0" w:rsidSect="00811755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8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0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1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1"/>
  </w:num>
  <w:num w:numId="2">
    <w:abstractNumId w:val="7"/>
  </w:num>
  <w:num w:numId="3">
    <w:abstractNumId w:val="6"/>
  </w:num>
  <w:num w:numId="4">
    <w:abstractNumId w:val="4"/>
  </w:num>
  <w:num w:numId="5">
    <w:abstractNumId w:val="3"/>
  </w:num>
  <w:num w:numId="6">
    <w:abstractNumId w:val="10"/>
  </w:num>
  <w:num w:numId="7">
    <w:abstractNumId w:val="8"/>
  </w:num>
  <w:num w:numId="8">
    <w:abstractNumId w:val="5"/>
  </w:num>
  <w:num w:numId="9">
    <w:abstractNumId w:val="0"/>
  </w:num>
  <w:num w:numId="10">
    <w:abstractNumId w:val="2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023BF"/>
    <w:rsid w:val="000215DB"/>
    <w:rsid w:val="000859A9"/>
    <w:rsid w:val="00085F72"/>
    <w:rsid w:val="000A5B35"/>
    <w:rsid w:val="000A5DA6"/>
    <w:rsid w:val="000B7729"/>
    <w:rsid w:val="000C3F05"/>
    <w:rsid w:val="000C46D3"/>
    <w:rsid w:val="000D085D"/>
    <w:rsid w:val="000E735A"/>
    <w:rsid w:val="000F45C1"/>
    <w:rsid w:val="00103293"/>
    <w:rsid w:val="00113AD4"/>
    <w:rsid w:val="001345D2"/>
    <w:rsid w:val="001362DB"/>
    <w:rsid w:val="001379E5"/>
    <w:rsid w:val="00144A51"/>
    <w:rsid w:val="00147521"/>
    <w:rsid w:val="00153B9D"/>
    <w:rsid w:val="001B0B74"/>
    <w:rsid w:val="001C15DC"/>
    <w:rsid w:val="001F6326"/>
    <w:rsid w:val="002227F5"/>
    <w:rsid w:val="00224050"/>
    <w:rsid w:val="00230B66"/>
    <w:rsid w:val="00287D99"/>
    <w:rsid w:val="002A465D"/>
    <w:rsid w:val="002E1F72"/>
    <w:rsid w:val="002E7324"/>
    <w:rsid w:val="003168C0"/>
    <w:rsid w:val="00335474"/>
    <w:rsid w:val="00335DBA"/>
    <w:rsid w:val="00343318"/>
    <w:rsid w:val="003526E5"/>
    <w:rsid w:val="00363156"/>
    <w:rsid w:val="00374FA2"/>
    <w:rsid w:val="00376557"/>
    <w:rsid w:val="00383BA4"/>
    <w:rsid w:val="003A04B6"/>
    <w:rsid w:val="003F1032"/>
    <w:rsid w:val="00475610"/>
    <w:rsid w:val="004B0C54"/>
    <w:rsid w:val="004D49F5"/>
    <w:rsid w:val="00514F67"/>
    <w:rsid w:val="005215FC"/>
    <w:rsid w:val="005A2D89"/>
    <w:rsid w:val="005D36FD"/>
    <w:rsid w:val="00604AD6"/>
    <w:rsid w:val="00606F10"/>
    <w:rsid w:val="006416B6"/>
    <w:rsid w:val="006615A5"/>
    <w:rsid w:val="006A0B97"/>
    <w:rsid w:val="006A1F02"/>
    <w:rsid w:val="006A255B"/>
    <w:rsid w:val="006D029F"/>
    <w:rsid w:val="006D0A2F"/>
    <w:rsid w:val="006E605E"/>
    <w:rsid w:val="00715D7B"/>
    <w:rsid w:val="0073389D"/>
    <w:rsid w:val="00745E68"/>
    <w:rsid w:val="00762F47"/>
    <w:rsid w:val="00763FAA"/>
    <w:rsid w:val="00791E2A"/>
    <w:rsid w:val="00791FB8"/>
    <w:rsid w:val="007B2F10"/>
    <w:rsid w:val="007B44E6"/>
    <w:rsid w:val="007C298F"/>
    <w:rsid w:val="007F5F27"/>
    <w:rsid w:val="00811755"/>
    <w:rsid w:val="008165A7"/>
    <w:rsid w:val="00820F61"/>
    <w:rsid w:val="008223B8"/>
    <w:rsid w:val="0083018C"/>
    <w:rsid w:val="00837309"/>
    <w:rsid w:val="0087059E"/>
    <w:rsid w:val="0088370A"/>
    <w:rsid w:val="008A3FCE"/>
    <w:rsid w:val="008A4188"/>
    <w:rsid w:val="008D5EDC"/>
    <w:rsid w:val="00932CE0"/>
    <w:rsid w:val="00964390"/>
    <w:rsid w:val="009A48EC"/>
    <w:rsid w:val="009A689A"/>
    <w:rsid w:val="009C7604"/>
    <w:rsid w:val="00A12027"/>
    <w:rsid w:val="00A217C8"/>
    <w:rsid w:val="00A357D5"/>
    <w:rsid w:val="00A9139B"/>
    <w:rsid w:val="00AA00FC"/>
    <w:rsid w:val="00AC7AC0"/>
    <w:rsid w:val="00B0301C"/>
    <w:rsid w:val="00B04574"/>
    <w:rsid w:val="00B43A69"/>
    <w:rsid w:val="00B82B14"/>
    <w:rsid w:val="00BF101E"/>
    <w:rsid w:val="00C0783C"/>
    <w:rsid w:val="00C168FA"/>
    <w:rsid w:val="00C24343"/>
    <w:rsid w:val="00C438F0"/>
    <w:rsid w:val="00CA07BC"/>
    <w:rsid w:val="00CA3A63"/>
    <w:rsid w:val="00CB0856"/>
    <w:rsid w:val="00CC0B1A"/>
    <w:rsid w:val="00CC2009"/>
    <w:rsid w:val="00CC7C8B"/>
    <w:rsid w:val="00D178BB"/>
    <w:rsid w:val="00D47974"/>
    <w:rsid w:val="00DA2D9F"/>
    <w:rsid w:val="00DE6A68"/>
    <w:rsid w:val="00E461DE"/>
    <w:rsid w:val="00E66BD8"/>
    <w:rsid w:val="00ED3F20"/>
    <w:rsid w:val="00EE4603"/>
    <w:rsid w:val="00F65448"/>
    <w:rsid w:val="00F86D17"/>
    <w:rsid w:val="00F92C86"/>
    <w:rsid w:val="00FA4F17"/>
    <w:rsid w:val="00FE0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FE054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2">
    <w:name w:val="heading 2"/>
    <w:basedOn w:val="a"/>
    <w:link w:val="20"/>
    <w:uiPriority w:val="9"/>
    <w:qFormat/>
    <w:rsid w:val="000E735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8">
    <w:name w:val="Hyperlink"/>
    <w:basedOn w:val="a0"/>
    <w:uiPriority w:val="99"/>
    <w:semiHidden/>
    <w:unhideWhenUsed/>
    <w:rsid w:val="005A2D89"/>
    <w:rPr>
      <w:color w:val="0000FF"/>
      <w:u w:val="single"/>
    </w:rPr>
  </w:style>
  <w:style w:type="paragraph" w:styleId="a9">
    <w:name w:val="Normal (Web)"/>
    <w:basedOn w:val="a"/>
    <w:uiPriority w:val="99"/>
    <w:unhideWhenUsed/>
    <w:rsid w:val="001F632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E735A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table" w:styleId="aa">
    <w:name w:val="Table Grid"/>
    <w:basedOn w:val="a1"/>
    <w:uiPriority w:val="39"/>
    <w:rsid w:val="004B0C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4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10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3178" TargetMode="External"/><Relationship Id="rId5" Type="http://schemas.openxmlformats.org/officeDocument/2006/relationships/hyperlink" Target="https://itpm-wiki.mos.ru/pages/viewpage.action?pageId=5331603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1</Pages>
  <Words>1418</Words>
  <Characters>8085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95</cp:revision>
  <dcterms:created xsi:type="dcterms:W3CDTF">2025-12-18T13:25:00Z</dcterms:created>
  <dcterms:modified xsi:type="dcterms:W3CDTF">2026-02-12T09:57:00Z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