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color w:val="000000"/>
        </w:rPr>
      </w:pPr>
      <w:bookmarkStart w:id="1" w:name="_GoBack"/>
      <w:bookmarkEnd w:id="1"/>
      <w:r>
        <w:rPr>
          <w:rFonts w:ascii="Times New Roman" w:hAnsi="Times New Roman"/>
          <w:color w:val="000000"/>
        </w:rPr>
        <w:t>Описание ОБП27:Организация работ по надлежащей эксплуатации зданий, сооружений и помещений суда</w:t>
      </w:r>
    </w:p>
    <w:p w14:paraId="02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1. Нормативно-правовые акты (НПА)</w:t>
      </w:r>
    </w:p>
    <w:tbl>
      <w:tblPr>
        <w:tblStyle w:val="Style_4"/>
        <w:tblW w:type="auto" w:w="0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3000000">
            <w:pPr>
              <w:rPr>
                <w:b w:val="1"/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</w:rPr>
              <w:t>Название НПА с реквизитами</w:t>
            </w:r>
          </w:p>
        </w:tc>
      </w:tr>
      <w:tr>
        <w:tc>
          <w:tcPr>
            <w:tcW w:type="dxa" w:w="93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4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Постановление Правительства РФ от 27.12.2012 N 1406 "О федеральной целевой программе "Развитие судебной системы России на 2013 - 2024 годы" (ред. от 15.07.2024)</w:t>
            </w:r>
          </w:p>
        </w:tc>
      </w:tr>
      <w:tr>
        <w:tc>
          <w:tcPr>
            <w:tcW w:type="dxa" w:w="93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05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Приказ Судебного департамента при Верховном Суде РФ от 23.12.2022 N 245</w:t>
            </w:r>
            <w:r>
              <w:rPr>
                <w:rStyle w:val="Style_5_ch"/>
                <w:rFonts w:ascii="Times New Roman" w:hAnsi="Times New Roman"/>
                <w:color w:val="000000"/>
              </w:rPr>
              <w:t>"Об утверждении Положен</w:t>
            </w:r>
            <w:r>
              <w:rPr>
                <w:rStyle w:val="Style_5_ch"/>
                <w:rFonts w:ascii="Times New Roman" w:hAnsi="Times New Roman"/>
                <w:color w:val="000000"/>
              </w:rPr>
              <w:t>ия о системе технического обслуживания и ремонта зданий и сооружений кассационных судов общей юрисдикции, кассационного военного суда, апелляционных судов общей юрисдикции, апелляционного военного суда, верховных судов республик, краевых и областных судов,</w:t>
            </w:r>
            <w:r>
              <w:rPr>
                <w:rStyle w:val="Style_5_ch"/>
                <w:rFonts w:ascii="Times New Roman" w:hAnsi="Times New Roman"/>
                <w:color w:val="000000"/>
              </w:rPr>
              <w:t xml:space="preserve"> судов городов федерального значения, судов автономной области и автономных округов, окружных (флотских) военных судов, федеральных арбитражных судов и управлений Судебного департамента в субъектах Российской Федерации"</w:t>
            </w:r>
          </w:p>
        </w:tc>
      </w:tr>
    </w:tbl>
    <w:p w14:paraId="06000000">
      <w:pPr>
        <w:rPr>
          <w:color w:val="000000"/>
        </w:rPr>
      </w:pPr>
      <w:r>
        <w:rPr>
          <w:rFonts w:ascii="Times New Roman" w:hAnsi="Times New Roman"/>
          <w:color w:val="000000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inline>
                <wp:extent cx="0" cy="19050"/>
                <wp:docPr hidden="false" id="1" name="Picture 1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anchor="t" bIns="45720" lIns="91440" rIns="91440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07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2. Схема процесса</w:t>
      </w:r>
    </w:p>
    <w:p w14:paraId="08000000">
      <w:pPr>
        <w:pStyle w:val="Style_6"/>
        <w:rPr>
          <w:color w:val="000000"/>
        </w:rPr>
      </w:pPr>
      <w:r>
        <w:rPr>
          <w:rFonts w:ascii="Times New Roman" w:hAnsi="Times New Roman"/>
          <w:color w:val="000000"/>
        </w:rPr>
        <w:t xml:space="preserve">BPMN-файл: </w:t>
      </w:r>
      <w:r>
        <w:rPr>
          <w:color w:val="000000"/>
        </w:rPr>
        <w:t>OBP27_Nadlezhashchaya_ekspluatatsiya_zdaniya_bpmn_tobe.bpmn</w:t>
      </w:r>
    </w:p>
    <w:p w14:paraId="09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3. Описание схемы бизнес-процессов</w:t>
      </w:r>
    </w:p>
    <w:tbl>
      <w:tblPr>
        <w:tblStyle w:val="Style_4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337"/>
        <w:gridCol w:w="1337"/>
        <w:gridCol w:w="1337"/>
        <w:gridCol w:w="1337"/>
        <w:gridCol w:w="1337"/>
        <w:gridCol w:w="1337"/>
        <w:gridCol w:w="1277"/>
      </w:tblGrid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№ действия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Роль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Входящие материалы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Исходящие материалы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Наименование шага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Срок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  <w:rPr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  <w:sz w:val="20"/>
              </w:rPr>
              <w:t>Описание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0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Возникла необходимость проверки надлежащей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Возникла необходимость проверки надлежащей эксплуатации здания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Создать сущность проверка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 выполняет задачу: Создать сущность проверка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Определить участников проверки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Руководитель отдела эксплуатации здания определяет </w:t>
            </w:r>
            <w:r>
              <w:rPr>
                <w:rFonts w:ascii="Times New Roman" w:hAnsi="Times New Roman"/>
                <w:color w:val="000000"/>
                <w:sz w:val="18"/>
              </w:rPr>
              <w:t>участников проверки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ind/>
              <w:jc w:val="left"/>
              <w:rPr>
                <w:color w:val="000000"/>
              </w:rPr>
            </w:pP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Проверка проводиться комиссионно?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Эксклюзивный  шлюз</w:t>
            </w:r>
          </w:p>
          <w:p w14:paraId="2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Проверка проводиться комиссионно?</w:t>
            </w:r>
          </w:p>
          <w:p w14:paraId="2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Если да, то переход к шагу 4. Если нет, то переход к шагу 5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Председатель суда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Локальный акт об утверждении комиссии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Утвердить состав комиссии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Председатель суда утверждает состав комиссии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/>
              <w:jc w:val="left"/>
              <w:rPr>
                <w:color w:val="000000"/>
              </w:rPr>
            </w:pP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Эксклюзивный шлюз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Эксклюзивный шлюз </w:t>
            </w:r>
            <w:r>
              <w:rPr>
                <w:rFonts w:ascii="Times New Roman" w:hAnsi="Times New Roman"/>
                <w:color w:val="000000"/>
                <w:sz w:val="18"/>
              </w:rPr>
              <w:t>объединяющий потоки из 3-го, 4-го шага</w:t>
            </w:r>
          </w:p>
        </w:tc>
      </w:tr>
      <w:tr>
        <w:trPr>
          <w:trHeight w:hRule="atLeast" w:val="1667"/>
        </w:trP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6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Провести проверку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left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Style w:val="Style_7_ch"/>
                <w:rFonts w:ascii="Times New Roman" w:hAnsi="Times New Roman"/>
                <w:color w:val="000000"/>
                <w:sz w:val="18"/>
              </w:rPr>
              <w:t xml:space="preserve">Руководитель отдела эксплуатации здания проводит проверки </w:t>
            </w:r>
            <w:r>
              <w:rPr>
                <w:rStyle w:val="Style_7_ch"/>
                <w:rFonts w:ascii="Times New Roman" w:hAnsi="Times New Roman"/>
                <w:color w:val="000000"/>
                <w:sz w:val="18"/>
              </w:rPr>
              <w:t>надлежащей эксплуатации здания</w:t>
            </w:r>
          </w:p>
        </w:tc>
      </w:tr>
      <w:tr>
        <w:trPr>
          <w:trHeight w:hRule="atLeast" w:val="1163"/>
        </w:trP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7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left"/>
              <w:rPr>
                <w:color w:val="000000"/>
              </w:rPr>
            </w:pP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Проверка установила надлежащую эксплуатацию?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Эксклюзивный  шлюз</w:t>
            </w:r>
          </w:p>
          <w:p w14:paraId="4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Если да, то переход к шагу 8. Если нет, то переход к шагу 9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8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Обеспечена надлежащая эксплуатация здания.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Завершение процесса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9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Установить факт нарушения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 устанавливает факт нарушения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10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Сообщить о нарушении председателю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 сообщает о нарушении председателю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11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Председатель суда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Локальный акт по устранению нарушений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Разработать меры по устранению нарушения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Председатель суда разрабатывает меры по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устранению нарушений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12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Исполнить поручение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Руководитель отдела эксплуатации здания исполняет поручение и устраняет нарушения 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13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Установить устранение нарушения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5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 xml:space="preserve">Руководитель отдела эксплуатации здания оценивает исполнение поручения и устанавливает факт устранения нарушений </w:t>
            </w:r>
          </w:p>
        </w:tc>
      </w:tr>
      <w:tr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14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Руководитель отдела эксплуатации здания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8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9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Нарушения устранены. Обеспечена надлежащая эксплуатация здания.</w:t>
            </w:r>
          </w:p>
        </w:tc>
        <w:tc>
          <w:tcPr>
            <w:tcW w:type="dxa" w:w="13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B000000">
            <w:pPr>
              <w:ind/>
              <w:jc w:val="left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pPr>
              <w:ind/>
              <w:jc w:val="left"/>
              <w:rPr>
                <w:rFonts w:ascii="Times New Roman" w:hAnsi="Times New Roman"/>
                <w:color w:val="000000"/>
                <w:sz w:val="18"/>
              </w:rPr>
            </w:pPr>
            <w:r>
              <w:rPr>
                <w:rStyle w:val="Style_7_ch"/>
                <w:rFonts w:ascii="Times New Roman" w:hAnsi="Times New Roman"/>
                <w:color w:val="000000"/>
                <w:sz w:val="18"/>
              </w:rPr>
              <w:t>Завершение процесса</w:t>
            </w:r>
          </w:p>
        </w:tc>
      </w:tr>
    </w:tbl>
    <w:p w14:paraId="7D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4. Пользователи и роли</w:t>
      </w:r>
    </w:p>
    <w:tbl>
      <w:tblPr>
        <w:tblStyle w:val="Style_4"/>
        <w:tblW w:type="auto" w:w="0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2410"/>
        <w:gridCol w:w="6060"/>
      </w:tblGrid>
      <w:tr>
        <w:tc>
          <w:tcPr>
            <w:tcW w:type="dxa" w:w="241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7E000000">
            <w:pPr>
              <w:pStyle w:val="Style_8"/>
              <w:rPr>
                <w:b w:val="1"/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</w:rPr>
              <w:t>Роль</w:t>
            </w:r>
          </w:p>
        </w:tc>
        <w:tc>
          <w:tcPr>
            <w:tcW w:type="dxa" w:w="60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7F000000">
            <w:pPr>
              <w:pStyle w:val="Style_8"/>
              <w:rPr>
                <w:b w:val="1"/>
                <w:color w:val="000000"/>
              </w:rPr>
            </w:pPr>
            <w:r>
              <w:rPr>
                <w:rFonts w:ascii="Times New Roman" w:hAnsi="Times New Roman"/>
                <w:b w:val="1"/>
                <w:color w:val="000000"/>
              </w:rPr>
              <w:t>Описание</w:t>
            </w:r>
          </w:p>
        </w:tc>
      </w:tr>
      <w:tr>
        <w:tc>
          <w:tcPr>
            <w:tcW w:type="dxa" w:w="241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80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Председатель суда</w:t>
            </w:r>
          </w:p>
        </w:tc>
        <w:tc>
          <w:tcPr>
            <w:tcW w:type="dxa" w:w="60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81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Утверждение комиссии, разработка плана по устранению нарушений </w:t>
            </w:r>
          </w:p>
        </w:tc>
      </w:tr>
      <w:tr>
        <w:tc>
          <w:tcPr>
            <w:tcW w:type="dxa" w:w="241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82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Руководитель отдела эксплуатации здания</w:t>
            </w:r>
          </w:p>
        </w:tc>
        <w:tc>
          <w:tcPr>
            <w:tcW w:type="dxa" w:w="60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83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Проработка подготовительных работ на устранение нарушений, выполнение плана, фиксация результатов</w:t>
            </w:r>
          </w:p>
        </w:tc>
      </w:tr>
    </w:tbl>
    <w:p w14:paraId="84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5. Реестр справочников</w:t>
      </w:r>
    </w:p>
    <w:p w14:paraId="85000000">
      <w:pPr>
        <w:pStyle w:val="Style_8"/>
        <w:rPr>
          <w:color w:val="000000"/>
        </w:rPr>
      </w:pPr>
      <w:r>
        <w:rPr>
          <w:rFonts w:ascii="Times New Roman" w:hAnsi="Times New Roman"/>
          <w:color w:val="000000"/>
        </w:rPr>
        <w:t>В процессе не используются справочники</w:t>
      </w:r>
    </w:p>
    <w:p w14:paraId="86000000">
      <w:pPr>
        <w:pStyle w:val="Style_2"/>
        <w:rPr>
          <w:color w:val="000000"/>
        </w:rPr>
      </w:pPr>
      <w:r>
        <w:rPr>
          <w:rStyle w:val="Style_9_ch"/>
          <w:rFonts w:ascii="Times New Roman" w:hAnsi="Times New Roman"/>
          <w:color w:val="000000"/>
        </w:rPr>
        <w:t>6. Непроцессуальные документы</w:t>
      </w:r>
    </w:p>
    <w:tbl>
      <w:tblPr>
        <w:tblStyle w:val="Style_4"/>
        <w:tblW w:type="auto" w:w="0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</w:tblBorders>
        <w:tblLayout w:type="fixed"/>
        <w:tblCellMar>
          <w:top w:type="dxa" w:w="15"/>
          <w:left w:type="dxa" w:w="15"/>
          <w:bottom w:type="dxa" w:w="15"/>
          <w:right w:type="dxa" w:w="15"/>
        </w:tblCellMar>
      </w:tblPr>
      <w:tblGrid>
        <w:gridCol w:w="750"/>
        <w:gridCol w:w="2560"/>
        <w:gridCol w:w="1900"/>
        <w:gridCol w:w="1880"/>
        <w:gridCol w:w="2270"/>
      </w:tblGrid>
      <w:tr>
        <w:tc>
          <w:tcPr>
            <w:tcW w:type="dxa" w:w="7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7000000">
            <w:pPr>
              <w:pStyle w:val="Style_10"/>
              <w:rPr>
                <w:color w:val="000000"/>
              </w:rPr>
            </w:pPr>
            <w:r>
              <w:rPr>
                <w:rStyle w:val="Style_3_ch"/>
                <w:rFonts w:ascii="Times New Roman" w:hAnsi="Times New Roman"/>
                <w:color w:val="000000"/>
              </w:rPr>
              <w:t>№ п/п</w:t>
            </w:r>
          </w:p>
        </w:tc>
        <w:tc>
          <w:tcPr>
            <w:tcW w:type="dxa" w:w="25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8000000">
            <w:pPr>
              <w:pStyle w:val="Style_10"/>
              <w:rPr>
                <w:color w:val="000000"/>
              </w:rPr>
            </w:pPr>
            <w:r>
              <w:rPr>
                <w:rStyle w:val="Style_3_ch"/>
                <w:rFonts w:ascii="Times New Roman" w:hAnsi="Times New Roman"/>
                <w:color w:val="000000"/>
              </w:rPr>
              <w:t>Вид документа</w:t>
            </w:r>
          </w:p>
        </w:tc>
        <w:tc>
          <w:tcPr>
            <w:tcW w:type="dxa" w:w="190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9000000">
            <w:pPr>
              <w:pStyle w:val="Style_10"/>
              <w:rPr>
                <w:color w:val="000000"/>
              </w:rPr>
            </w:pPr>
            <w:r>
              <w:rPr>
                <w:rStyle w:val="Style_3_ch"/>
                <w:rFonts w:ascii="Times New Roman" w:hAnsi="Times New Roman"/>
                <w:color w:val="000000"/>
              </w:rPr>
              <w:t>Наименование документа</w:t>
            </w:r>
          </w:p>
        </w:tc>
        <w:tc>
          <w:tcPr>
            <w:tcW w:type="dxa" w:w="188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A000000">
            <w:pPr>
              <w:pStyle w:val="Style_10"/>
              <w:rPr>
                <w:color w:val="000000"/>
              </w:rPr>
            </w:pPr>
            <w:r>
              <w:rPr>
                <w:rStyle w:val="Style_3_ch"/>
                <w:rFonts w:ascii="Times New Roman" w:hAnsi="Times New Roman"/>
                <w:color w:val="000000"/>
              </w:rPr>
              <w:t>Форма (печатная/электр</w:t>
            </w:r>
            <w:r>
              <w:rPr>
                <w:rStyle w:val="Style_3_ch"/>
                <w:rFonts w:ascii="Times New Roman" w:hAnsi="Times New Roman"/>
                <w:color w:val="000000"/>
              </w:rPr>
              <w:t>онная)</w:t>
            </w:r>
          </w:p>
        </w:tc>
        <w:tc>
          <w:tcPr>
            <w:tcW w:type="dxa" w:w="227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B000000">
            <w:pPr>
              <w:pStyle w:val="Style_10"/>
              <w:rPr>
                <w:color w:val="000000"/>
              </w:rPr>
            </w:pPr>
            <w:r>
              <w:rPr>
                <w:rStyle w:val="Style_3_ch"/>
                <w:rFonts w:ascii="Times New Roman" w:hAnsi="Times New Roman"/>
                <w:color w:val="000000"/>
              </w:rPr>
              <w:t>Образец / ссылка на облако, где располагается</w:t>
            </w:r>
          </w:p>
        </w:tc>
      </w:tr>
      <w:tr>
        <w:tc>
          <w:tcPr>
            <w:tcW w:type="dxa" w:w="7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C000000">
            <w:pPr>
              <w:pStyle w:val="Style_10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1.</w:t>
            </w:r>
          </w:p>
        </w:tc>
        <w:tc>
          <w:tcPr>
            <w:tcW w:type="dxa" w:w="25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D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Локальный нормативный акт </w:t>
            </w:r>
          </w:p>
        </w:tc>
        <w:tc>
          <w:tcPr>
            <w:tcW w:type="dxa" w:w="190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E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Локальный акт об утверждении комиссии</w:t>
            </w:r>
          </w:p>
        </w:tc>
        <w:tc>
          <w:tcPr>
            <w:tcW w:type="dxa" w:w="188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8F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Электронная </w:t>
            </w:r>
          </w:p>
        </w:tc>
        <w:tc>
          <w:tcPr>
            <w:tcW w:type="dxa" w:w="227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0000000">
            <w:pPr>
              <w:pStyle w:val="Style_11"/>
              <w:rPr>
                <w:color w:val="000000"/>
              </w:rPr>
            </w:pPr>
          </w:p>
        </w:tc>
      </w:tr>
      <w:tr>
        <w:tc>
          <w:tcPr>
            <w:tcW w:type="dxa" w:w="75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1000000">
            <w:pPr>
              <w:pStyle w:val="Style_10"/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2.</w:t>
            </w:r>
          </w:p>
        </w:tc>
        <w:tc>
          <w:tcPr>
            <w:tcW w:type="dxa" w:w="256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2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Локальный нормативный акт </w:t>
            </w:r>
          </w:p>
        </w:tc>
        <w:tc>
          <w:tcPr>
            <w:tcW w:type="dxa" w:w="190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3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Локальный акт по устранению нарушений</w:t>
            </w:r>
          </w:p>
        </w:tc>
        <w:tc>
          <w:tcPr>
            <w:tcW w:type="dxa" w:w="188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4000000">
            <w:pPr>
              <w:rPr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Электронная </w:t>
            </w:r>
          </w:p>
        </w:tc>
        <w:tc>
          <w:tcPr>
            <w:tcW w:type="dxa" w:w="2270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</w:tcPr>
          <w:p w14:paraId="95000000">
            <w:pPr>
              <w:pStyle w:val="Style_12"/>
              <w:rPr>
                <w:color w:val="000000"/>
              </w:rPr>
            </w:pPr>
          </w:p>
        </w:tc>
      </w:tr>
    </w:tbl>
    <w:p w14:paraId="96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7. Межведомственное взаимодействие</w:t>
      </w:r>
    </w:p>
    <w:p w14:paraId="97000000">
      <w:pPr>
        <w:pStyle w:val="Style_8"/>
        <w:rPr>
          <w:color w:val="000000"/>
        </w:rPr>
      </w:pPr>
      <w:r>
        <w:rPr>
          <w:rFonts w:ascii="Times New Roman" w:hAnsi="Times New Roman"/>
          <w:color w:val="000000"/>
        </w:rPr>
        <w:t>Межведомственное взаимодействие отсутствует</w:t>
      </w:r>
    </w:p>
    <w:p w14:paraId="98000000">
      <w:pPr>
        <w:pStyle w:val="Style_2"/>
        <w:rPr>
          <w:color w:val="000000"/>
        </w:rPr>
      </w:pPr>
      <w:r>
        <w:rPr>
          <w:rStyle w:val="Style_3_ch"/>
          <w:rFonts w:ascii="Times New Roman" w:hAnsi="Times New Roman"/>
          <w:b w:val="1"/>
          <w:color w:val="000000"/>
        </w:rPr>
        <w:t>8. Информация о сроках</w:t>
      </w:r>
    </w:p>
    <w:p w14:paraId="99000000">
      <w:pPr>
        <w:pStyle w:val="Style_8"/>
      </w:pPr>
      <w:r>
        <w:rPr>
          <w:rFonts w:ascii="Times New Roman" w:hAnsi="Times New Roman"/>
          <w:color w:val="000000"/>
        </w:rPr>
        <w:t>Сроки действий в процессе не регламентированы</w:t>
      </w:r>
    </w:p>
    <w:p w14:paraId="9A000000">
      <w:pPr>
        <w:pStyle w:val="Style_8"/>
      </w:pPr>
    </w:p>
    <w:p w14:paraId="9B000000">
      <w:pPr>
        <w:pStyle w:val="Style_8"/>
      </w:pPr>
    </w:p>
    <w:p w14:paraId="9C000000">
      <w:pPr>
        <w:pStyle w:val="Style_8"/>
      </w:pPr>
    </w:p>
    <w:sectPr>
      <w:pgSz w:h="15840" w:orient="portrait" w:w="12240"/>
      <w:pgMar w:bottom="1440" w:footer="720" w:gutter="0" w:header="720" w:left="1440" w:right="1440" w:top="144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7" w:type="paragraph">
    <w:name w:val="Normal"/>
    <w:link w:val="Style_7_ch"/>
    <w:uiPriority w:val="0"/>
    <w:qFormat/>
    <w:rPr>
      <w:rFonts w:ascii="Times New Roman" w:hAnsi="Times New Roman"/>
      <w:sz w:val="24"/>
    </w:rPr>
  </w:style>
  <w:style w:default="1" w:styleId="Style_7_ch" w:type="character">
    <w:name w:val="Normal"/>
    <w:link w:val="Style_7"/>
    <w:rPr>
      <w:rFonts w:ascii="Times New Roman" w:hAnsi="Times New Roman"/>
      <w:sz w:val="24"/>
    </w:rPr>
  </w:style>
  <w:style w:styleId="Style_13" w:type="paragraph">
    <w:name w:val="Default Paragraph Font"/>
    <w:link w:val="Style_13_ch"/>
  </w:style>
  <w:style w:styleId="Style_13_ch" w:type="character">
    <w:name w:val="Default Paragraph Font"/>
    <w:link w:val="Style_13"/>
  </w:style>
  <w:style w:styleId="Style_5" w:type="paragraph">
    <w:name w:val="doc__title_important"/>
    <w:basedOn w:val="Style_13"/>
    <w:link w:val="Style_5_ch"/>
  </w:style>
  <w:style w:styleId="Style_5_ch" w:type="character">
    <w:name w:val="doc__title_important"/>
    <w:basedOn w:val="Style_13_ch"/>
    <w:link w:val="Style_5"/>
  </w:style>
  <w:style w:styleId="Style_14" w:type="paragraph">
    <w:name w:val="toc 2"/>
    <w:next w:val="Style_7"/>
    <w:link w:val="Style_14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4_ch" w:type="character">
    <w:name w:val="toc 2"/>
    <w:link w:val="Style_14"/>
    <w:rPr>
      <w:rFonts w:ascii="XO Thames" w:hAnsi="XO Thames"/>
      <w:sz w:val="28"/>
    </w:rPr>
  </w:style>
  <w:style w:styleId="Style_15" w:type="paragraph">
    <w:name w:val="toc 4"/>
    <w:next w:val="Style_7"/>
    <w:link w:val="Style_15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5_ch" w:type="character">
    <w:name w:val="toc 4"/>
    <w:link w:val="Style_15"/>
    <w:rPr>
      <w:rFonts w:ascii="XO Thames" w:hAnsi="XO Thames"/>
      <w:sz w:val="28"/>
    </w:rPr>
  </w:style>
  <w:style w:styleId="Style_16" w:type="paragraph">
    <w:name w:val="toc 6"/>
    <w:next w:val="Style_7"/>
    <w:link w:val="Style_16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6_ch" w:type="character">
    <w:name w:val="toc 6"/>
    <w:link w:val="Style_16"/>
    <w:rPr>
      <w:rFonts w:ascii="XO Thames" w:hAnsi="XO Thames"/>
      <w:sz w:val="28"/>
    </w:rPr>
  </w:style>
  <w:style w:styleId="Style_17" w:type="paragraph">
    <w:name w:val="msonormal"/>
    <w:basedOn w:val="Style_7"/>
    <w:link w:val="Style_17_ch"/>
    <w:pPr>
      <w:spacing w:afterAutospacing="on" w:beforeAutospacing="on"/>
      <w:ind/>
    </w:pPr>
    <w:rPr>
      <w:rFonts w:ascii="Times New Roman" w:hAnsi="Times New Roman"/>
    </w:rPr>
  </w:style>
  <w:style w:styleId="Style_17_ch" w:type="character">
    <w:name w:val="msonormal"/>
    <w:basedOn w:val="Style_7_ch"/>
    <w:link w:val="Style_17"/>
    <w:rPr>
      <w:rFonts w:ascii="Times New Roman" w:hAnsi="Times New Roman"/>
    </w:rPr>
  </w:style>
  <w:style w:styleId="Style_18" w:type="paragraph">
    <w:name w:val="toc 7"/>
    <w:next w:val="Style_7"/>
    <w:link w:val="Style_1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8_ch" w:type="character">
    <w:name w:val="toc 7"/>
    <w:link w:val="Style_18"/>
    <w:rPr>
      <w:rFonts w:ascii="XO Thames" w:hAnsi="XO Thames"/>
      <w:sz w:val="28"/>
    </w:rPr>
  </w:style>
  <w:style w:styleId="Style_19" w:type="paragraph">
    <w:name w:val="End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Endnote"/>
    <w:link w:val="Style_19"/>
    <w:rPr>
      <w:rFonts w:ascii="XO Thames" w:hAnsi="XO Thames"/>
      <w:sz w:val="22"/>
    </w:rPr>
  </w:style>
  <w:style w:styleId="Style_20" w:type="paragraph">
    <w:name w:val="heading 3"/>
    <w:next w:val="Style_7"/>
    <w:link w:val="Style_20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20_ch" w:type="character">
    <w:name w:val="heading 3"/>
    <w:link w:val="Style_20"/>
    <w:rPr>
      <w:rFonts w:ascii="XO Thames" w:hAnsi="XO Thames"/>
      <w:b w:val="1"/>
      <w:sz w:val="26"/>
    </w:rPr>
  </w:style>
  <w:style w:styleId="Style_10" w:type="paragraph">
    <w:name w:val="p8"/>
    <w:basedOn w:val="Style_7"/>
    <w:link w:val="Style_10_ch"/>
    <w:pPr>
      <w:spacing w:afterAutospacing="on" w:beforeAutospacing="on"/>
      <w:ind/>
    </w:pPr>
    <w:rPr>
      <w:rFonts w:ascii="Times New Roman" w:hAnsi="Times New Roman"/>
    </w:rPr>
  </w:style>
  <w:style w:styleId="Style_10_ch" w:type="character">
    <w:name w:val="p8"/>
    <w:basedOn w:val="Style_7_ch"/>
    <w:link w:val="Style_10"/>
    <w:rPr>
      <w:rFonts w:ascii="Times New Roman" w:hAnsi="Times New Roman"/>
    </w:rPr>
  </w:style>
  <w:style w:styleId="Style_21" w:type="paragraph">
    <w:name w:val="toc 3"/>
    <w:next w:val="Style_7"/>
    <w:link w:val="Style_21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1_ch" w:type="character">
    <w:name w:val="toc 3"/>
    <w:link w:val="Style_21"/>
    <w:rPr>
      <w:rFonts w:ascii="XO Thames" w:hAnsi="XO Thames"/>
      <w:sz w:val="28"/>
    </w:rPr>
  </w:style>
  <w:style w:styleId="Style_3" w:type="paragraph">
    <w:name w:val="Strong"/>
    <w:basedOn w:val="Style_13"/>
    <w:link w:val="Style_3_ch"/>
    <w:rPr>
      <w:b w:val="1"/>
    </w:rPr>
  </w:style>
  <w:style w:styleId="Style_3_ch" w:type="character">
    <w:name w:val="Strong"/>
    <w:basedOn w:val="Style_13_ch"/>
    <w:link w:val="Style_3"/>
    <w:rPr>
      <w:b w:val="1"/>
    </w:rPr>
  </w:style>
  <w:style w:styleId="Style_22" w:type="paragraph">
    <w:name w:val="heading 5"/>
    <w:next w:val="Style_7"/>
    <w:link w:val="Style_22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2_ch" w:type="character">
    <w:name w:val="heading 5"/>
    <w:link w:val="Style_22"/>
    <w:rPr>
      <w:rFonts w:ascii="XO Thames" w:hAnsi="XO Thames"/>
      <w:b w:val="1"/>
      <w:sz w:val="22"/>
    </w:rPr>
  </w:style>
  <w:style w:styleId="Style_1" w:type="paragraph">
    <w:name w:val="heading 1"/>
    <w:basedOn w:val="Style_7"/>
    <w:link w:val="Style_1_ch"/>
    <w:uiPriority w:val="9"/>
    <w:qFormat/>
    <w:pPr>
      <w:spacing w:afterAutospacing="on" w:beforeAutospacing="on"/>
      <w:ind/>
      <w:outlineLvl w:val="0"/>
    </w:pPr>
    <w:rPr>
      <w:rFonts w:ascii="Times New Roman" w:hAnsi="Times New Roman"/>
      <w:b w:val="1"/>
      <w:sz w:val="48"/>
    </w:rPr>
  </w:style>
  <w:style w:styleId="Style_1_ch" w:type="character">
    <w:name w:val="heading 1"/>
    <w:basedOn w:val="Style_7_ch"/>
    <w:link w:val="Style_1"/>
    <w:rPr>
      <w:rFonts w:ascii="Times New Roman" w:hAnsi="Times New Roman"/>
      <w:b w:val="1"/>
      <w:sz w:val="48"/>
    </w:rPr>
  </w:style>
  <w:style w:styleId="Style_23" w:type="paragraph">
    <w:name w:val="Hyperlink"/>
    <w:link w:val="Style_23_ch"/>
    <w:rPr>
      <w:color w:val="0000FF"/>
      <w:u w:val="single"/>
    </w:rPr>
  </w:style>
  <w:style w:styleId="Style_23_ch" w:type="character">
    <w:name w:val="Hyperlink"/>
    <w:link w:val="Style_23"/>
    <w:rPr>
      <w:color w:val="0000FF"/>
      <w:u w:val="single"/>
    </w:rPr>
  </w:style>
  <w:style w:styleId="Style_24" w:type="paragraph">
    <w:name w:val="Footnote"/>
    <w:link w:val="Style_24_ch"/>
    <w:pPr>
      <w:ind w:firstLine="851" w:left="0"/>
      <w:jc w:val="both"/>
    </w:pPr>
    <w:rPr>
      <w:rFonts w:ascii="XO Thames" w:hAnsi="XO Thames"/>
      <w:sz w:val="22"/>
    </w:rPr>
  </w:style>
  <w:style w:styleId="Style_24_ch" w:type="character">
    <w:name w:val="Footnote"/>
    <w:link w:val="Style_24"/>
    <w:rPr>
      <w:rFonts w:ascii="XO Thames" w:hAnsi="XO Thames"/>
      <w:sz w:val="22"/>
    </w:rPr>
  </w:style>
  <w:style w:styleId="Style_25" w:type="paragraph">
    <w:name w:val="toc 1"/>
    <w:next w:val="Style_7"/>
    <w:link w:val="Style_2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5_ch" w:type="character">
    <w:name w:val="toc 1"/>
    <w:link w:val="Style_25"/>
    <w:rPr>
      <w:rFonts w:ascii="XO Thames" w:hAnsi="XO Thames"/>
      <w:b w:val="1"/>
      <w:sz w:val="28"/>
    </w:rPr>
  </w:style>
  <w:style w:styleId="Style_26" w:type="paragraph">
    <w:name w:val="Header and Footer"/>
    <w:link w:val="Style_26_ch"/>
    <w:pPr>
      <w:spacing w:line="240" w:lineRule="auto"/>
      <w:ind/>
      <w:jc w:val="both"/>
    </w:pPr>
    <w:rPr>
      <w:rFonts w:ascii="XO Thames" w:hAnsi="XO Thames"/>
      <w:sz w:val="28"/>
    </w:rPr>
  </w:style>
  <w:style w:styleId="Style_26_ch" w:type="character">
    <w:name w:val="Header and Footer"/>
    <w:link w:val="Style_26"/>
    <w:rPr>
      <w:rFonts w:ascii="XO Thames" w:hAnsi="XO Thames"/>
      <w:sz w:val="28"/>
    </w:rPr>
  </w:style>
  <w:style w:styleId="Style_27" w:type="paragraph">
    <w:name w:val="toc 9"/>
    <w:next w:val="Style_7"/>
    <w:link w:val="Style_2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7_ch" w:type="character">
    <w:name w:val="toc 9"/>
    <w:link w:val="Style_27"/>
    <w:rPr>
      <w:rFonts w:ascii="XO Thames" w:hAnsi="XO Thames"/>
      <w:sz w:val="28"/>
    </w:rPr>
  </w:style>
  <w:style w:styleId="Style_9" w:type="paragraph">
    <w:name w:val="s1"/>
    <w:basedOn w:val="Style_13"/>
    <w:link w:val="Style_9_ch"/>
  </w:style>
  <w:style w:styleId="Style_9_ch" w:type="character">
    <w:name w:val="s1"/>
    <w:basedOn w:val="Style_13_ch"/>
    <w:link w:val="Style_9"/>
  </w:style>
  <w:style w:styleId="Style_6" w:type="paragraph">
    <w:name w:val="code-line"/>
    <w:basedOn w:val="Style_7"/>
    <w:link w:val="Style_6_ch"/>
    <w:pPr>
      <w:spacing w:afterAutospacing="on" w:beforeAutospacing="on"/>
      <w:ind/>
    </w:pPr>
    <w:rPr>
      <w:rFonts w:ascii="Times New Roman" w:hAnsi="Times New Roman"/>
    </w:rPr>
  </w:style>
  <w:style w:styleId="Style_6_ch" w:type="character">
    <w:name w:val="code-line"/>
    <w:basedOn w:val="Style_7_ch"/>
    <w:link w:val="Style_6"/>
    <w:rPr>
      <w:rFonts w:ascii="Times New Roman" w:hAnsi="Times New Roman"/>
    </w:rPr>
  </w:style>
  <w:style w:styleId="Style_11" w:type="paragraph">
    <w:name w:val="p2"/>
    <w:basedOn w:val="Style_7"/>
    <w:link w:val="Style_11_ch"/>
    <w:pPr>
      <w:spacing w:afterAutospacing="on" w:beforeAutospacing="on"/>
      <w:ind/>
    </w:pPr>
    <w:rPr>
      <w:rFonts w:ascii="Times New Roman" w:hAnsi="Times New Roman"/>
    </w:rPr>
  </w:style>
  <w:style w:styleId="Style_11_ch" w:type="character">
    <w:name w:val="p2"/>
    <w:basedOn w:val="Style_7_ch"/>
    <w:link w:val="Style_11"/>
    <w:rPr>
      <w:rFonts w:ascii="Times New Roman" w:hAnsi="Times New Roman"/>
    </w:rPr>
  </w:style>
  <w:style w:styleId="Style_28" w:type="paragraph">
    <w:name w:val="toc 8"/>
    <w:next w:val="Style_7"/>
    <w:link w:val="Style_28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8_ch" w:type="character">
    <w:name w:val="toc 8"/>
    <w:link w:val="Style_28"/>
    <w:rPr>
      <w:rFonts w:ascii="XO Thames" w:hAnsi="XO Thames"/>
      <w:sz w:val="28"/>
    </w:rPr>
  </w:style>
  <w:style w:styleId="Style_12" w:type="paragraph">
    <w:name w:val="p9"/>
    <w:basedOn w:val="Style_7"/>
    <w:link w:val="Style_12_ch"/>
    <w:pPr>
      <w:spacing w:afterAutospacing="on" w:beforeAutospacing="on"/>
      <w:ind/>
    </w:pPr>
    <w:rPr>
      <w:rFonts w:ascii="Times New Roman" w:hAnsi="Times New Roman"/>
    </w:rPr>
  </w:style>
  <w:style w:styleId="Style_12_ch" w:type="character">
    <w:name w:val="p9"/>
    <w:basedOn w:val="Style_7_ch"/>
    <w:link w:val="Style_12"/>
    <w:rPr>
      <w:rFonts w:ascii="Times New Roman" w:hAnsi="Times New Roman"/>
    </w:rPr>
  </w:style>
  <w:style w:styleId="Style_29" w:type="paragraph">
    <w:name w:val="toc 5"/>
    <w:next w:val="Style_7"/>
    <w:link w:val="Style_2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9_ch" w:type="character">
    <w:name w:val="toc 5"/>
    <w:link w:val="Style_29"/>
    <w:rPr>
      <w:rFonts w:ascii="XO Thames" w:hAnsi="XO Thames"/>
      <w:sz w:val="28"/>
    </w:rPr>
  </w:style>
  <w:style w:styleId="Style_8" w:type="paragraph">
    <w:name w:val="Normal (Web)"/>
    <w:basedOn w:val="Style_7"/>
    <w:link w:val="Style_8_ch"/>
    <w:pPr>
      <w:spacing w:afterAutospacing="on" w:beforeAutospacing="on"/>
      <w:ind/>
    </w:pPr>
    <w:rPr>
      <w:rFonts w:ascii="Times New Roman" w:hAnsi="Times New Roman"/>
    </w:rPr>
  </w:style>
  <w:style w:styleId="Style_8_ch" w:type="character">
    <w:name w:val="Normal (Web)"/>
    <w:basedOn w:val="Style_7_ch"/>
    <w:link w:val="Style_8"/>
    <w:rPr>
      <w:rFonts w:ascii="Times New Roman" w:hAnsi="Times New Roman"/>
    </w:rPr>
  </w:style>
  <w:style w:styleId="Style_30" w:type="paragraph">
    <w:name w:val="Subtitle"/>
    <w:next w:val="Style_7"/>
    <w:link w:val="Style_3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30_ch" w:type="character">
    <w:name w:val="Subtitle"/>
    <w:link w:val="Style_30"/>
    <w:rPr>
      <w:rFonts w:ascii="XO Thames" w:hAnsi="XO Thames"/>
      <w:i w:val="1"/>
      <w:sz w:val="24"/>
    </w:rPr>
  </w:style>
  <w:style w:styleId="Style_31" w:type="paragraph">
    <w:name w:val="Title"/>
    <w:next w:val="Style_7"/>
    <w:link w:val="Style_3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1_ch" w:type="character">
    <w:name w:val="Title"/>
    <w:link w:val="Style_31"/>
    <w:rPr>
      <w:rFonts w:ascii="XO Thames" w:hAnsi="XO Thames"/>
      <w:b w:val="1"/>
      <w:caps w:val="1"/>
      <w:sz w:val="40"/>
    </w:rPr>
  </w:style>
  <w:style w:styleId="Style_32" w:type="paragraph">
    <w:name w:val="heading 4"/>
    <w:next w:val="Style_7"/>
    <w:link w:val="Style_3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2_ch" w:type="character">
    <w:name w:val="heading 4"/>
    <w:link w:val="Style_32"/>
    <w:rPr>
      <w:rFonts w:ascii="XO Thames" w:hAnsi="XO Thames"/>
      <w:b w:val="1"/>
      <w:sz w:val="24"/>
    </w:rPr>
  </w:style>
  <w:style w:styleId="Style_2" w:type="paragraph">
    <w:name w:val="heading 2"/>
    <w:basedOn w:val="Style_7"/>
    <w:link w:val="Style_2_ch"/>
    <w:uiPriority w:val="9"/>
    <w:qFormat/>
    <w:pPr>
      <w:spacing w:afterAutospacing="on" w:beforeAutospacing="on"/>
      <w:ind/>
      <w:outlineLvl w:val="1"/>
    </w:pPr>
    <w:rPr>
      <w:rFonts w:ascii="Times New Roman" w:hAnsi="Times New Roman"/>
      <w:b w:val="1"/>
      <w:sz w:val="36"/>
    </w:rPr>
  </w:style>
  <w:style w:styleId="Style_2_ch" w:type="character">
    <w:name w:val="heading 2"/>
    <w:basedOn w:val="Style_7_ch"/>
    <w:link w:val="Style_2"/>
    <w:rPr>
      <w:rFonts w:ascii="Times New Roman" w:hAnsi="Times New Roman"/>
      <w:b w:val="1"/>
      <w:sz w:val="36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2025-11-21T11:23:09Z</dcterms:modified>
</cp:coreProperties>
</file>