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bookmarkStart w:id="1" w:name="_GoBack"/>
      <w:bookmarkEnd w:id="1"/>
      <w:r>
        <w:rPr>
          <w:rFonts w:ascii="Times New Roman" w:hAnsi="Times New Roman"/>
        </w:rPr>
        <w:t>Описание ОБП34: Регистрация, учет и обработка заявок в Service Desk системе</w:t>
      </w:r>
    </w:p>
    <w:p w14:paraId="02000000">
      <w:pPr>
        <w:pStyle w:val="Style_2"/>
      </w:pPr>
      <w:r>
        <w:rPr>
          <w:rStyle w:val="Style_3_ch"/>
          <w:rFonts w:ascii="Times New Roman" w:hAnsi="Times New Roman"/>
          <w:b w:val="1"/>
        </w:rPr>
        <w:t>1. Нормативно-правовые акты (НПА)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3000000">
            <w:pPr>
              <w:rPr>
                <w:b w:val="1"/>
              </w:rPr>
            </w:pPr>
            <w:r>
              <w:rPr>
                <w:rFonts w:ascii="Times New Roman" w:hAnsi="Times New Roman"/>
                <w:b w:val="1"/>
              </w:rPr>
              <w:t>Название НПА с реквизитами</w:t>
            </w:r>
          </w:p>
        </w:tc>
      </w:tr>
      <w:t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4000000">
            <w:r>
              <w:rPr>
                <w:rFonts w:ascii="Times New Roman" w:hAnsi="Times New Roman"/>
              </w:rPr>
              <w:t>Федеральный закон от 27.07.2006 N 149-ФЗ "Об информации, информационных технологиях и о защите информации" (ред. от 24.06.2025)</w:t>
            </w:r>
          </w:p>
        </w:tc>
      </w:tr>
      <w:t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5000000">
            <w:r>
              <w:rPr>
                <w:rFonts w:ascii="Times New Roman" w:hAnsi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6000000">
            <w:r>
              <w:rPr>
                <w:rFonts w:ascii="Times New Roman" w:hAnsi="Times New Roman"/>
              </w:rPr>
              <w:t>Приказ Судебного департамента при Верховном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14:paraId="07000000">
      <w:r>
        <w:rPr>
          <w:rFonts w:ascii="Times New Roman" w:hAnsi="Times New Roman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" name="Picture 1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8000000">
      <w:pPr>
        <w:pStyle w:val="Style_2"/>
      </w:pPr>
      <w:r>
        <w:rPr>
          <w:rStyle w:val="Style_3_ch"/>
          <w:rFonts w:ascii="Times New Roman" w:hAnsi="Times New Roman"/>
          <w:b w:val="1"/>
        </w:rPr>
        <w:t>2. Схема процесса</w:t>
      </w:r>
    </w:p>
    <w:p w14:paraId="09000000">
      <w:pPr>
        <w:pStyle w:val="Style_5"/>
      </w:pPr>
      <w:r>
        <w:rPr>
          <w:rFonts w:ascii="Times New Roman" w:hAnsi="Times New Roman"/>
        </w:rPr>
        <w:t>BPMN-файл:</w:t>
      </w:r>
      <w:r>
        <w:rPr>
          <w:rFonts w:ascii="Times New Roman" w:hAnsi="Times New Roman"/>
        </w:rPr>
        <w:t xml:space="preserve"> </w:t>
      </w:r>
      <w:r>
        <w:t>OBP34_rabota_Service_Desk_bpmn_tobe.bpmn</w:t>
      </w:r>
    </w:p>
    <w:p w14:paraId="0A000000">
      <w:pPr>
        <w:pStyle w:val="Style_2"/>
      </w:pPr>
      <w:r>
        <w:rPr>
          <w:rStyle w:val="Style_3_ch"/>
          <w:rFonts w:ascii="Times New Roman" w:hAnsi="Times New Roman"/>
          <w:b w:val="1"/>
        </w:rPr>
        <w:t>3. Описание схемы бизнес-процессов</w:t>
      </w:r>
    </w:p>
    <w:tbl>
      <w:tblPr>
        <w:tblStyle w:val="Style_4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№ действия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Роль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Входящие материалы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Исходящие материалы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Наименование шага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Срок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Описание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суда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Возникла необходимость получить техническую поддержку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Возникла необходимость получить техническую поддержку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суда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Авторизоваться Service Desk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Для создания заявки в Service Desk сотруднику требуется авторизоваться и войти в личный кабинет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суда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Сформировать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После авторизации сотруднику требуется сформировать заявку и указать причину заявки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Система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Запросить информацию о загруженности сотрудников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Система выполняет задачу: 'Запросить информацию о загруженности сотрудников'.</w:t>
            </w:r>
          </w:p>
        </w:tc>
      </w:tr>
      <w:tr>
        <w:trPr>
          <w:trHeight w:hRule="atLeast" w:val="785"/>
        </w:trP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Система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Назначить исполнителя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left"/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 xml:space="preserve">Система автоматически назначает исполнителя, учитывая его компетенцию и нагрузку 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Ознакомиться с задачей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Ознакомиться с задачей.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Внести в систему данные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Внести в систему данные.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left"/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Какой тип заявки?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Эксклюзивный открывающий шлюз</w:t>
            </w:r>
          </w:p>
          <w:p w14:paraId="4A000000">
            <w:pPr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>Если Обеспечение работы сети "Интернет", то переход к шагу 8</w:t>
            </w:r>
          </w:p>
          <w:p w14:paraId="4B000000">
            <w:pPr>
              <w:rPr>
                <w:rFonts w:ascii="Times New Roman" w:hAnsi="Times New Roman"/>
                <w:sz w:val="18"/>
              </w:rPr>
            </w:pPr>
          </w:p>
          <w:p w14:paraId="4C000000">
            <w:pPr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>Если Обеспечение работы ИС суда, то переход к шагу 11</w:t>
            </w:r>
          </w:p>
          <w:p w14:paraId="4D000000">
            <w:pPr>
              <w:rPr>
                <w:rFonts w:ascii="Times New Roman" w:hAnsi="Times New Roman"/>
                <w:sz w:val="18"/>
              </w:rPr>
            </w:pPr>
          </w:p>
          <w:p w14:paraId="4E000000">
            <w:pPr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>Если Техническое обеспечение систем, то переход к шагу 14</w:t>
            </w:r>
          </w:p>
          <w:p w14:paraId="4F000000">
            <w:pPr>
              <w:rPr>
                <w:rFonts w:ascii="Times New Roman" w:hAnsi="Times New Roman"/>
                <w:sz w:val="18"/>
              </w:rPr>
            </w:pPr>
          </w:p>
          <w:p w14:paraId="50000000">
            <w:pPr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>Если Обеспечение работы оборудования и техники, то переход к шагу 17</w:t>
            </w:r>
          </w:p>
          <w:p w14:paraId="51000000">
            <w:pPr>
              <w:rPr>
                <w:rFonts w:ascii="Times New Roman" w:hAnsi="Times New Roman"/>
                <w:sz w:val="18"/>
              </w:rPr>
            </w:pPr>
          </w:p>
          <w:p w14:paraId="52000000">
            <w:pPr>
              <w:ind/>
              <w:jc w:val="left"/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>Если Техническое обеспечение нового сотрудника, то переход к шагу 20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ОБП23:Обеспечить работу сети "Интернет"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Переход к типовому процессу  ОБП23:Обеспечить работу сети "Интернет"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Закрыть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Закрыть заявку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Заявка обработана. Обеспечена работоспособность сети "Интернет"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left"/>
              <w:rPr>
                <w:rFonts w:ascii="Times New Roman" w:hAnsi="Times New Roman"/>
                <w:sz w:val="18"/>
              </w:rPr>
            </w:pPr>
            <w:r>
              <w:rPr>
                <w:rStyle w:val="Style_6_ch"/>
                <w:rFonts w:ascii="Times New Roman" w:hAnsi="Times New Roman"/>
                <w:sz w:val="18"/>
              </w:rPr>
              <w:t>Завершение процесса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ОБП33:Обеспечить поддержку ИС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Переход к типовому процессу  </w:t>
            </w:r>
            <w:r>
              <w:rPr>
                <w:rFonts w:ascii="Times New Roman" w:hAnsi="Times New Roman"/>
                <w:sz w:val="18"/>
              </w:rPr>
              <w:t>ОБП33:Обеспечить поддержку ИС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Закрыть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'Закрыть заявку'.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Заявка обработана. Обеспечена работоспособность ИС.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ind/>
              <w:jc w:val="left"/>
            </w:pPr>
            <w:r>
              <w:rPr>
                <w:rStyle w:val="Style_6_ch"/>
                <w:rFonts w:ascii="Times New Roman" w:hAnsi="Times New Roman"/>
                <w:sz w:val="18"/>
              </w:rPr>
              <w:t>Завершение процесса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ОБП17:Организовать обслуживание систем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Переход к типовому процессу  </w:t>
            </w:r>
            <w:r>
              <w:rPr>
                <w:rFonts w:ascii="Times New Roman" w:hAnsi="Times New Roman"/>
                <w:sz w:val="18"/>
              </w:rPr>
              <w:t>ОБП17:Организовать обслуживание систем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Закрыть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Закрыть заявку.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Заявка обработана. Обеспечена работоспособность систем.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pPr>
              <w:ind/>
              <w:jc w:val="left"/>
            </w:pPr>
            <w:r>
              <w:rPr>
                <w:rStyle w:val="Style_6_ch"/>
                <w:rFonts w:ascii="Times New Roman" w:hAnsi="Times New Roman"/>
                <w:sz w:val="18"/>
              </w:rPr>
              <w:t>Завершение процесса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ОБП14:Организовать обслуживание техники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Переход к типовому процессу  </w:t>
            </w:r>
            <w:r>
              <w:rPr>
                <w:rFonts w:ascii="Times New Roman" w:hAnsi="Times New Roman"/>
                <w:sz w:val="18"/>
              </w:rPr>
              <w:t>ОБП14:Организовать обсуживание техники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Закрыть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Закрыть заявку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Заявка обработана. Обеспечена работоспособность оборудования и техники.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00000">
            <w:pPr>
              <w:ind/>
              <w:jc w:val="left"/>
            </w:pPr>
            <w:r>
              <w:rPr>
                <w:rStyle w:val="Style_6_ch"/>
                <w:rFonts w:ascii="Times New Roman" w:hAnsi="Times New Roman"/>
                <w:sz w:val="18"/>
              </w:rPr>
              <w:t>Завершение процесса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Зарегистрировать нового сотрудника во всех ИС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Зарегистрировать нового сотрудника во всех ИС.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Предоставить логин, временный пароль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выдает новому сотруднику технику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Выдать технику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выдает технику новому сотруднику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Новый сотрудник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Журнал выдачи техники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Поставить подпись в журнале выдачи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00000">
            <w:r>
              <w:rPr>
                <w:rFonts w:ascii="Times New Roman" w:hAnsi="Times New Roman"/>
                <w:sz w:val="18"/>
              </w:rPr>
              <w:t>Новый сотрудник принимает технику и ставит подпись в ж</w:t>
            </w:r>
            <w:r>
              <w:rPr>
                <w:rFonts w:ascii="Times New Roman" w:hAnsi="Times New Roman"/>
                <w:sz w:val="18"/>
              </w:rPr>
              <w:t>урнале выдачи техники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Закрыть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 выполняют задачу: Закрыть заявку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Сотрудник отдела информатизации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Заявка обработана. Проведено техническое обеспечение нового сотрудника.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00000">
            <w:pPr>
              <w:ind/>
              <w:jc w:val="lef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00000">
            <w:pPr>
              <w:ind/>
              <w:jc w:val="left"/>
            </w:pPr>
            <w:r>
              <w:rPr>
                <w:rStyle w:val="Style_6_ch"/>
                <w:rFonts w:ascii="Times New Roman" w:hAnsi="Times New Roman"/>
                <w:sz w:val="18"/>
              </w:rPr>
              <w:t>Завершение процесса</w:t>
            </w:r>
          </w:p>
          <w:p w14:paraId="D1000000">
            <w:pPr>
              <w:ind/>
              <w:jc w:val="left"/>
            </w:pPr>
          </w:p>
        </w:tc>
      </w:tr>
    </w:tbl>
    <w:p w14:paraId="D2000000">
      <w:pPr>
        <w:pStyle w:val="Style_2"/>
      </w:pPr>
      <w:r>
        <w:rPr>
          <w:rStyle w:val="Style_3_ch"/>
          <w:rFonts w:ascii="Times New Roman" w:hAnsi="Times New Roman"/>
          <w:b w:val="1"/>
        </w:rPr>
        <w:t>4. Пользователи и роли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3460"/>
        <w:gridCol w:w="5900"/>
      </w:tblGrid>
      <w:tr>
        <w:tc>
          <w:tcPr>
            <w:tcW w:type="dxa" w:w="3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D3000000">
            <w:pPr>
              <w:pStyle w:val="Style_7"/>
              <w:rPr>
                <w:b w:val="1"/>
              </w:rPr>
            </w:pPr>
            <w:r>
              <w:rPr>
                <w:rFonts w:ascii="Times New Roman" w:hAnsi="Times New Roman"/>
                <w:b w:val="1"/>
              </w:rPr>
              <w:t>Роль</w:t>
            </w:r>
          </w:p>
        </w:tc>
        <w:tc>
          <w:tcPr>
            <w:tcW w:type="dxa" w:w="5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D4000000">
            <w:pPr>
              <w:pStyle w:val="Style_7"/>
              <w:rPr>
                <w:b w:val="1"/>
              </w:rPr>
            </w:pPr>
            <w:r>
              <w:rPr>
                <w:rFonts w:ascii="Times New Roman" w:hAnsi="Times New Roman"/>
                <w:b w:val="1"/>
              </w:rPr>
              <w:t>Описание</w:t>
            </w:r>
          </w:p>
        </w:tc>
      </w:tr>
      <w:tr>
        <w:tc>
          <w:tcPr>
            <w:tcW w:type="dxa" w:w="3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5000000">
            <w:r>
              <w:rPr>
                <w:rFonts w:ascii="Times New Roman" w:hAnsi="Times New Roman"/>
              </w:rPr>
              <w:t>Сотрудник отдела информатизации</w:t>
            </w:r>
          </w:p>
        </w:tc>
        <w:tc>
          <w:tcPr>
            <w:tcW w:type="dxa" w:w="5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6000000">
            <w:r>
              <w:rPr>
                <w:rFonts w:ascii="Times New Roman" w:hAnsi="Times New Roman"/>
              </w:rPr>
              <w:t>Получение заявки, обработка заявки, закрытие заявки </w:t>
            </w:r>
          </w:p>
        </w:tc>
      </w:tr>
      <w:tr>
        <w:tc>
          <w:tcPr>
            <w:tcW w:type="dxa" w:w="3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7000000">
            <w:r>
              <w:rPr>
                <w:rFonts w:ascii="Times New Roman" w:hAnsi="Times New Roman"/>
              </w:rPr>
              <w:t>Сотрудник суда</w:t>
            </w:r>
          </w:p>
        </w:tc>
        <w:tc>
          <w:tcPr>
            <w:tcW w:type="dxa" w:w="5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8000000">
            <w:r>
              <w:rPr>
                <w:rFonts w:ascii="Times New Roman" w:hAnsi="Times New Roman"/>
              </w:rPr>
              <w:t>Оформление заявки</w:t>
            </w:r>
          </w:p>
        </w:tc>
      </w:tr>
      <w:tr>
        <w:tc>
          <w:tcPr>
            <w:tcW w:type="dxa" w:w="3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9000000">
            <w:r>
              <w:rPr>
                <w:rFonts w:ascii="Times New Roman" w:hAnsi="Times New Roman"/>
              </w:rPr>
              <w:t>Новый сотрудник</w:t>
            </w:r>
          </w:p>
        </w:tc>
        <w:tc>
          <w:tcPr>
            <w:tcW w:type="dxa" w:w="5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A000000">
            <w:r>
              <w:rPr>
                <w:rFonts w:ascii="Times New Roman" w:hAnsi="Times New Roman"/>
              </w:rPr>
              <w:t>Получение данных и техники</w:t>
            </w:r>
          </w:p>
        </w:tc>
      </w:tr>
      <w:tr>
        <w:tc>
          <w:tcPr>
            <w:tcW w:type="dxa" w:w="3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B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</w:t>
            </w:r>
          </w:p>
        </w:tc>
        <w:tc>
          <w:tcPr>
            <w:tcW w:type="dxa" w:w="5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C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Формирование заявки, назначение исполнителя </w:t>
            </w:r>
          </w:p>
        </w:tc>
      </w:tr>
    </w:tbl>
    <w:p w14:paraId="DD000000">
      <w:pPr>
        <w:pStyle w:val="Style_2"/>
      </w:pPr>
      <w:r>
        <w:rPr>
          <w:rStyle w:val="Style_3_ch"/>
          <w:rFonts w:ascii="Times New Roman" w:hAnsi="Times New Roman"/>
          <w:b w:val="1"/>
        </w:rPr>
        <w:t>5. Реестр справочников</w:t>
      </w:r>
    </w:p>
    <w:p w14:paraId="DE000000">
      <w:pPr>
        <w:pStyle w:val="Style_7"/>
        <w:rPr>
          <w:color w:val="000000"/>
        </w:rPr>
      </w:pPr>
      <w:r>
        <w:rPr>
          <w:rFonts w:ascii="Times New Roman" w:hAnsi="Times New Roman"/>
          <w:color w:val="000000"/>
        </w:rPr>
        <w:t>В процессе не используются справочники</w:t>
      </w:r>
    </w:p>
    <w:p w14:paraId="DF000000">
      <w:pPr>
        <w:pStyle w:val="Style_2"/>
      </w:pPr>
      <w:r>
        <w:rPr>
          <w:rStyle w:val="Style_8_ch"/>
          <w:rFonts w:ascii="Times New Roman" w:hAnsi="Times New Roman"/>
        </w:rPr>
        <w:t>6. Непроцессуальные документы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480"/>
        <w:gridCol w:w="1669"/>
        <w:gridCol w:w="2056"/>
        <w:gridCol w:w="2068"/>
        <w:gridCol w:w="3087"/>
      </w:tblGrid>
      <w:tr>
        <w:tc>
          <w:tcPr>
            <w:tcW w:type="dxa" w:w="48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0000000">
            <w:pPr>
              <w:pStyle w:val="Style_9"/>
            </w:pPr>
            <w:r>
              <w:rPr>
                <w:rStyle w:val="Style_3_ch"/>
                <w:rFonts w:ascii="Times New Roman" w:hAnsi="Times New Roman"/>
              </w:rPr>
              <w:t>№ п/п</w:t>
            </w:r>
          </w:p>
        </w:tc>
        <w:tc>
          <w:tcPr>
            <w:tcW w:type="dxa" w:w="166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1000000">
            <w:pPr>
              <w:pStyle w:val="Style_9"/>
            </w:pPr>
            <w:r>
              <w:rPr>
                <w:rStyle w:val="Style_3_ch"/>
                <w:rFonts w:ascii="Times New Roman" w:hAnsi="Times New Roman"/>
              </w:rPr>
              <w:t>Вид документа</w:t>
            </w:r>
          </w:p>
        </w:tc>
        <w:tc>
          <w:tcPr>
            <w:tcW w:type="dxa" w:w="205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2000000">
            <w:pPr>
              <w:pStyle w:val="Style_9"/>
            </w:pPr>
            <w:r>
              <w:rPr>
                <w:rStyle w:val="Style_3_ch"/>
                <w:rFonts w:ascii="Times New Roman" w:hAnsi="Times New Roman"/>
              </w:rPr>
              <w:t>Наименование документа</w:t>
            </w:r>
          </w:p>
        </w:tc>
        <w:tc>
          <w:tcPr>
            <w:tcW w:type="dxa" w:w="206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3000000">
            <w:pPr>
              <w:pStyle w:val="Style_9"/>
            </w:pPr>
            <w:r>
              <w:rPr>
                <w:rStyle w:val="Style_3_ch"/>
                <w:rFonts w:ascii="Times New Roman" w:hAnsi="Times New Roman"/>
              </w:rPr>
              <w:t>Форма (печатная/электронная)</w:t>
            </w:r>
          </w:p>
        </w:tc>
        <w:tc>
          <w:tcPr>
            <w:tcW w:type="dxa" w:w="30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4000000">
            <w:pPr>
              <w:pStyle w:val="Style_9"/>
            </w:pPr>
            <w:r>
              <w:rPr>
                <w:rStyle w:val="Style_3_ch"/>
                <w:rFonts w:ascii="Times New Roman" w:hAnsi="Times New Roman"/>
              </w:rPr>
              <w:t>Образец / ссылка на облако, где располагается</w:t>
            </w:r>
          </w:p>
        </w:tc>
      </w:tr>
      <w:tr>
        <w:tc>
          <w:tcPr>
            <w:tcW w:type="dxa" w:w="48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5000000">
            <w:pPr>
              <w:pStyle w:val="Style_9"/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type="dxa" w:w="166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6000000">
            <w:pPr>
              <w:pStyle w:val="Style_10"/>
            </w:pPr>
            <w:r>
              <w:rPr>
                <w:rFonts w:ascii="Times New Roman" w:hAnsi="Times New Roman"/>
                <w:color w:val="172B4D"/>
              </w:rPr>
              <w:t>Первичный учетный документ</w:t>
            </w:r>
          </w:p>
        </w:tc>
        <w:tc>
          <w:tcPr>
            <w:tcW w:type="dxa" w:w="205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7000000">
            <w:pPr>
              <w:pStyle w:val="Style_10"/>
            </w:pPr>
            <w:r>
              <w:rPr>
                <w:rFonts w:ascii="Times New Roman" w:hAnsi="Times New Roman"/>
              </w:rPr>
              <w:t>Журнал выдачи техники</w:t>
            </w:r>
          </w:p>
        </w:tc>
        <w:tc>
          <w:tcPr>
            <w:tcW w:type="dxa" w:w="206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8000000">
            <w:r>
              <w:rPr>
                <w:rFonts w:ascii="Times New Roman" w:hAnsi="Times New Roman"/>
              </w:rPr>
              <w:t>Печатная </w:t>
            </w:r>
          </w:p>
        </w:tc>
        <w:tc>
          <w:tcPr>
            <w:tcW w:type="dxa" w:w="30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E9000000">
            <w:pPr>
              <w:pStyle w:val="Style_11"/>
            </w:pPr>
          </w:p>
        </w:tc>
      </w:tr>
    </w:tbl>
    <w:p w14:paraId="EA000000">
      <w:pPr>
        <w:pStyle w:val="Style_2"/>
      </w:pPr>
      <w:r>
        <w:rPr>
          <w:rStyle w:val="Style_3_ch"/>
          <w:rFonts w:ascii="Times New Roman" w:hAnsi="Times New Roman"/>
          <w:b w:val="1"/>
        </w:rPr>
        <w:t>7. Межведомственное взаимодействие</w:t>
      </w:r>
    </w:p>
    <w:p w14:paraId="EB000000">
      <w:pPr>
        <w:pStyle w:val="Style_7"/>
      </w:pPr>
      <w:r>
        <w:rPr>
          <w:rFonts w:ascii="Times New Roman" w:hAnsi="Times New Roman"/>
        </w:rPr>
        <w:t>Межведомственное взаимодействие отсутствует</w:t>
      </w:r>
    </w:p>
    <w:p w14:paraId="EC000000">
      <w:pPr>
        <w:pStyle w:val="Style_2"/>
      </w:pPr>
      <w:r>
        <w:rPr>
          <w:rStyle w:val="Style_3_ch"/>
          <w:rFonts w:ascii="Times New Roman" w:hAnsi="Times New Roman"/>
          <w:b w:val="1"/>
        </w:rPr>
        <w:t>8. Информация о сроках</w:t>
      </w:r>
    </w:p>
    <w:p w14:paraId="ED000000">
      <w:pPr>
        <w:pStyle w:val="Style_7"/>
      </w:pPr>
      <w:r>
        <w:rPr>
          <w:rFonts w:ascii="Times New Roman" w:hAnsi="Times New Roman"/>
        </w:rPr>
        <w:t>Сроки действий в процессе не регламентированы</w:t>
      </w:r>
    </w:p>
    <w:p w14:paraId="EE000000">
      <w:pPr>
        <w:pStyle w:val="Style_7"/>
      </w:pPr>
    </w:p>
    <w:p w14:paraId="EF000000">
      <w:pPr>
        <w:pStyle w:val="Style_7"/>
      </w:pPr>
    </w:p>
    <w:p w14:paraId="F0000000">
      <w:pPr>
        <w:pStyle w:val="Style_7"/>
      </w:pPr>
    </w:p>
    <w:sectPr>
      <w:pgSz w:h="15840" w:orient="portrait" w:w="12240"/>
      <w:pgMar w:bottom="1440" w:footer="720" w:gutter="0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rFonts w:ascii="Times New Roman" w:hAnsi="Times New Roman"/>
      <w:sz w:val="24"/>
    </w:rPr>
  </w:style>
  <w:style w:default="1" w:styleId="Style_6_ch" w:type="character">
    <w:name w:val="Normal"/>
    <w:link w:val="Style_6"/>
    <w:rPr>
      <w:rFonts w:ascii="Times New Roman" w:hAnsi="Times New Roman"/>
      <w:sz w:val="24"/>
    </w:rPr>
  </w:style>
  <w:style w:styleId="Style_12" w:type="paragraph">
    <w:name w:val="toc 2"/>
    <w:next w:val="Style_6"/>
    <w:link w:val="Style_1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2_ch" w:type="character">
    <w:name w:val="toc 2"/>
    <w:link w:val="Style_12"/>
    <w:rPr>
      <w:rFonts w:ascii="XO Thames" w:hAnsi="XO Thames"/>
      <w:sz w:val="28"/>
    </w:rPr>
  </w:style>
  <w:style w:styleId="Style_13" w:type="paragraph">
    <w:name w:val="toc 4"/>
    <w:next w:val="Style_6"/>
    <w:link w:val="Style_1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3_ch" w:type="character">
    <w:name w:val="toc 4"/>
    <w:link w:val="Style_13"/>
    <w:rPr>
      <w:rFonts w:ascii="XO Thames" w:hAnsi="XO Thames"/>
      <w:sz w:val="28"/>
    </w:rPr>
  </w:style>
  <w:style w:styleId="Style_14" w:type="paragraph">
    <w:name w:val="toc 6"/>
    <w:next w:val="Style_6"/>
    <w:link w:val="Style_1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4_ch" w:type="character">
    <w:name w:val="toc 6"/>
    <w:link w:val="Style_14"/>
    <w:rPr>
      <w:rFonts w:ascii="XO Thames" w:hAnsi="XO Thames"/>
      <w:sz w:val="28"/>
    </w:rPr>
  </w:style>
  <w:style w:styleId="Style_15" w:type="paragraph">
    <w:name w:val="toc 7"/>
    <w:next w:val="Style_6"/>
    <w:link w:val="Style_1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5_ch" w:type="character">
    <w:name w:val="toc 7"/>
    <w:link w:val="Style_15"/>
    <w:rPr>
      <w:rFonts w:ascii="XO Thames" w:hAnsi="XO Thames"/>
      <w:sz w:val="28"/>
    </w:rPr>
  </w:style>
  <w:style w:styleId="Style_16" w:type="paragraph">
    <w:name w:val="msonormal"/>
    <w:basedOn w:val="Style_6"/>
    <w:link w:val="Style_16_ch"/>
    <w:pPr>
      <w:spacing w:afterAutospacing="on" w:beforeAutospacing="on"/>
      <w:ind/>
    </w:pPr>
    <w:rPr>
      <w:rFonts w:ascii="Times New Roman" w:hAnsi="Times New Roman"/>
    </w:rPr>
  </w:style>
  <w:style w:styleId="Style_16_ch" w:type="character">
    <w:name w:val="msonormal"/>
    <w:basedOn w:val="Style_6_ch"/>
    <w:link w:val="Style_16"/>
    <w:rPr>
      <w:rFonts w:ascii="Times New Roman" w:hAnsi="Times New Roman"/>
    </w:rPr>
  </w:style>
  <w:style w:styleId="Style_5" w:type="paragraph">
    <w:name w:val="code-line"/>
    <w:basedOn w:val="Style_6"/>
    <w:link w:val="Style_5_ch"/>
    <w:pPr>
      <w:spacing w:afterAutospacing="on" w:beforeAutospacing="on"/>
      <w:ind/>
    </w:pPr>
    <w:rPr>
      <w:rFonts w:ascii="Times New Roman" w:hAnsi="Times New Roman"/>
    </w:rPr>
  </w:style>
  <w:style w:styleId="Style_5_ch" w:type="character">
    <w:name w:val="code-line"/>
    <w:basedOn w:val="Style_6_ch"/>
    <w:link w:val="Style_5"/>
    <w:rPr>
      <w:rFonts w:ascii="Times New Roman" w:hAnsi="Times New Roman"/>
    </w:rPr>
  </w:style>
  <w:style w:styleId="Style_17" w:type="paragraph">
    <w:name w:val="End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next w:val="Style_6"/>
    <w:link w:val="Style_1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8_ch" w:type="character">
    <w:name w:val="heading 3"/>
    <w:link w:val="Style_18"/>
    <w:rPr>
      <w:rFonts w:ascii="XO Thames" w:hAnsi="XO Thames"/>
      <w:b w:val="1"/>
      <w:sz w:val="26"/>
    </w:rPr>
  </w:style>
  <w:style w:styleId="Style_8" w:type="paragraph">
    <w:name w:val="s1"/>
    <w:basedOn w:val="Style_19"/>
    <w:link w:val="Style_8_ch"/>
  </w:style>
  <w:style w:styleId="Style_8_ch" w:type="character">
    <w:name w:val="s1"/>
    <w:basedOn w:val="Style_19_ch"/>
    <w:link w:val="Style_8"/>
  </w:style>
  <w:style w:styleId="Style_7" w:type="paragraph">
    <w:name w:val="Normal (Web)"/>
    <w:basedOn w:val="Style_6"/>
    <w:link w:val="Style_7_ch"/>
    <w:pPr>
      <w:spacing w:afterAutospacing="on" w:beforeAutospacing="on"/>
      <w:ind/>
    </w:pPr>
    <w:rPr>
      <w:rFonts w:ascii="Times New Roman" w:hAnsi="Times New Roman"/>
    </w:rPr>
  </w:style>
  <w:style w:styleId="Style_7_ch" w:type="character">
    <w:name w:val="Normal (Web)"/>
    <w:basedOn w:val="Style_6_ch"/>
    <w:link w:val="Style_7"/>
    <w:rPr>
      <w:rFonts w:ascii="Times New Roman" w:hAnsi="Times New Roman"/>
    </w:rPr>
  </w:style>
  <w:style w:styleId="Style_19" w:type="paragraph">
    <w:name w:val="Default Paragraph Font"/>
    <w:link w:val="Style_19_ch"/>
  </w:style>
  <w:style w:styleId="Style_19_ch" w:type="character">
    <w:name w:val="Default Paragraph Font"/>
    <w:link w:val="Style_19"/>
  </w:style>
  <w:style w:styleId="Style_9" w:type="paragraph">
    <w:name w:val="p8"/>
    <w:basedOn w:val="Style_6"/>
    <w:link w:val="Style_9_ch"/>
    <w:pPr>
      <w:spacing w:afterAutospacing="on" w:beforeAutospacing="on"/>
      <w:ind/>
    </w:pPr>
    <w:rPr>
      <w:rFonts w:ascii="Times New Roman" w:hAnsi="Times New Roman"/>
    </w:rPr>
  </w:style>
  <w:style w:styleId="Style_9_ch" w:type="character">
    <w:name w:val="p8"/>
    <w:basedOn w:val="Style_6_ch"/>
    <w:link w:val="Style_9"/>
    <w:rPr>
      <w:rFonts w:ascii="Times New Roman" w:hAnsi="Times New Roman"/>
    </w:rPr>
  </w:style>
  <w:style w:styleId="Style_20" w:type="paragraph">
    <w:name w:val="toc 3"/>
    <w:next w:val="Style_6"/>
    <w:link w:val="Style_2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0_ch" w:type="character">
    <w:name w:val="toc 3"/>
    <w:link w:val="Style_20"/>
    <w:rPr>
      <w:rFonts w:ascii="XO Thames" w:hAnsi="XO Thames"/>
      <w:sz w:val="28"/>
    </w:rPr>
  </w:style>
  <w:style w:styleId="Style_21" w:type="paragraph">
    <w:name w:val="heading 5"/>
    <w:next w:val="Style_6"/>
    <w:link w:val="Style_2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1_ch" w:type="character">
    <w:name w:val="heading 5"/>
    <w:link w:val="Style_21"/>
    <w:rPr>
      <w:rFonts w:ascii="XO Thames" w:hAnsi="XO Thames"/>
      <w:b w:val="1"/>
      <w:sz w:val="22"/>
    </w:rPr>
  </w:style>
  <w:style w:styleId="Style_1" w:type="paragraph">
    <w:name w:val="heading 1"/>
    <w:basedOn w:val="Style_6"/>
    <w:link w:val="Style_1_ch"/>
    <w:uiPriority w:val="9"/>
    <w:qFormat/>
    <w:pPr>
      <w:spacing w:afterAutospacing="on" w:beforeAutospacing="on"/>
      <w:ind/>
      <w:outlineLvl w:val="0"/>
    </w:pPr>
    <w:rPr>
      <w:rFonts w:ascii="Times New Roman" w:hAnsi="Times New Roman"/>
      <w:b w:val="1"/>
      <w:sz w:val="48"/>
    </w:rPr>
  </w:style>
  <w:style w:styleId="Style_1_ch" w:type="character">
    <w:name w:val="heading 1"/>
    <w:basedOn w:val="Style_6_ch"/>
    <w:link w:val="Style_1"/>
    <w:rPr>
      <w:rFonts w:ascii="Times New Roman" w:hAnsi="Times New Roman"/>
      <w:b w:val="1"/>
      <w:sz w:val="48"/>
    </w:rPr>
  </w:style>
  <w:style w:styleId="Style_10" w:type="paragraph">
    <w:name w:val="p3"/>
    <w:basedOn w:val="Style_6"/>
    <w:link w:val="Style_10_ch"/>
    <w:pPr>
      <w:spacing w:afterAutospacing="on" w:beforeAutospacing="on"/>
      <w:ind/>
    </w:pPr>
    <w:rPr>
      <w:rFonts w:ascii="Times New Roman" w:hAnsi="Times New Roman"/>
    </w:rPr>
  </w:style>
  <w:style w:styleId="Style_10_ch" w:type="character">
    <w:name w:val="p3"/>
    <w:basedOn w:val="Style_6_ch"/>
    <w:link w:val="Style_10"/>
    <w:rPr>
      <w:rFonts w:ascii="Times New Roman" w:hAnsi="Times New Roman"/>
    </w:rPr>
  </w:style>
  <w:style w:styleId="Style_22" w:type="paragraph">
    <w:name w:val="Hyperlink"/>
    <w:link w:val="Style_22_ch"/>
    <w:rPr>
      <w:color w:val="0000FF"/>
      <w:u w:val="single"/>
    </w:rPr>
  </w:style>
  <w:style w:styleId="Style_22_ch" w:type="character">
    <w:name w:val="Hyperlink"/>
    <w:link w:val="Style_22"/>
    <w:rPr>
      <w:color w:val="0000FF"/>
      <w:u w:val="single"/>
    </w:rPr>
  </w:style>
  <w:style w:styleId="Style_23" w:type="paragraph">
    <w:name w:val="Footnote"/>
    <w:link w:val="Style_23_ch"/>
    <w:pPr>
      <w:ind w:firstLine="851" w:left="0"/>
      <w:jc w:val="both"/>
    </w:pPr>
    <w:rPr>
      <w:rFonts w:ascii="XO Thames" w:hAnsi="XO Thames"/>
      <w:sz w:val="22"/>
    </w:rPr>
  </w:style>
  <w:style w:styleId="Style_23_ch" w:type="character">
    <w:name w:val="Footnote"/>
    <w:link w:val="Style_23"/>
    <w:rPr>
      <w:rFonts w:ascii="XO Thames" w:hAnsi="XO Thames"/>
      <w:sz w:val="22"/>
    </w:rPr>
  </w:style>
  <w:style w:styleId="Style_24" w:type="paragraph">
    <w:name w:val="toc 1"/>
    <w:next w:val="Style_6"/>
    <w:link w:val="Style_2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4_ch" w:type="character">
    <w:name w:val="toc 1"/>
    <w:link w:val="Style_24"/>
    <w:rPr>
      <w:rFonts w:ascii="XO Thames" w:hAnsi="XO Thames"/>
      <w:b w:val="1"/>
      <w:sz w:val="28"/>
    </w:rPr>
  </w:style>
  <w:style w:styleId="Style_11" w:type="paragraph">
    <w:name w:val="p2"/>
    <w:basedOn w:val="Style_6"/>
    <w:link w:val="Style_11_ch"/>
    <w:pPr>
      <w:spacing w:afterAutospacing="on" w:beforeAutospacing="on"/>
      <w:ind/>
    </w:pPr>
    <w:rPr>
      <w:rFonts w:ascii="Times New Roman" w:hAnsi="Times New Roman"/>
    </w:rPr>
  </w:style>
  <w:style w:styleId="Style_11_ch" w:type="character">
    <w:name w:val="p2"/>
    <w:basedOn w:val="Style_6_ch"/>
    <w:link w:val="Style_11"/>
    <w:rPr>
      <w:rFonts w:ascii="Times New Roman" w:hAnsi="Times New Roman"/>
    </w:rPr>
  </w:style>
  <w:style w:styleId="Style_25" w:type="paragraph">
    <w:name w:val="Header and Footer"/>
    <w:link w:val="Style_25_ch"/>
    <w:pPr>
      <w:spacing w:line="240" w:lineRule="auto"/>
      <w:ind/>
      <w:jc w:val="both"/>
    </w:pPr>
    <w:rPr>
      <w:rFonts w:ascii="XO Thames" w:hAnsi="XO Thames"/>
      <w:sz w:val="28"/>
    </w:rPr>
  </w:style>
  <w:style w:styleId="Style_25_ch" w:type="character">
    <w:name w:val="Header and Footer"/>
    <w:link w:val="Style_25"/>
    <w:rPr>
      <w:rFonts w:ascii="XO Thames" w:hAnsi="XO Thames"/>
      <w:sz w:val="28"/>
    </w:rPr>
  </w:style>
  <w:style w:styleId="Style_26" w:type="paragraph">
    <w:name w:val="toc 9"/>
    <w:next w:val="Style_6"/>
    <w:link w:val="Style_2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toc 8"/>
    <w:next w:val="Style_6"/>
    <w:link w:val="Style_2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7_ch" w:type="character">
    <w:name w:val="toc 8"/>
    <w:link w:val="Style_27"/>
    <w:rPr>
      <w:rFonts w:ascii="XO Thames" w:hAnsi="XO Thames"/>
      <w:sz w:val="28"/>
    </w:rPr>
  </w:style>
  <w:style w:styleId="Style_28" w:type="paragraph">
    <w:name w:val="toc 5"/>
    <w:next w:val="Style_6"/>
    <w:link w:val="Style_2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8_ch" w:type="character">
    <w:name w:val="toc 5"/>
    <w:link w:val="Style_28"/>
    <w:rPr>
      <w:rFonts w:ascii="XO Thames" w:hAnsi="XO Thames"/>
      <w:sz w:val="28"/>
    </w:rPr>
  </w:style>
  <w:style w:styleId="Style_29" w:type="paragraph">
    <w:name w:val="Subtitle"/>
    <w:next w:val="Style_6"/>
    <w:link w:val="Style_2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9_ch" w:type="character">
    <w:name w:val="Subtitle"/>
    <w:link w:val="Style_29"/>
    <w:rPr>
      <w:rFonts w:ascii="XO Thames" w:hAnsi="XO Thames"/>
      <w:i w:val="1"/>
      <w:sz w:val="24"/>
    </w:rPr>
  </w:style>
  <w:style w:styleId="Style_30" w:type="paragraph">
    <w:name w:val="Title"/>
    <w:next w:val="Style_6"/>
    <w:link w:val="Style_3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0_ch" w:type="character">
    <w:name w:val="Title"/>
    <w:link w:val="Style_30"/>
    <w:rPr>
      <w:rFonts w:ascii="XO Thames" w:hAnsi="XO Thames"/>
      <w:b w:val="1"/>
      <w:caps w:val="1"/>
      <w:sz w:val="40"/>
    </w:rPr>
  </w:style>
  <w:style w:styleId="Style_31" w:type="paragraph">
    <w:name w:val="heading 4"/>
    <w:next w:val="Style_6"/>
    <w:link w:val="Style_3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1_ch" w:type="character">
    <w:name w:val="heading 4"/>
    <w:link w:val="Style_31"/>
    <w:rPr>
      <w:rFonts w:ascii="XO Thames" w:hAnsi="XO Thames"/>
      <w:b w:val="1"/>
      <w:sz w:val="24"/>
    </w:rPr>
  </w:style>
  <w:style w:styleId="Style_2" w:type="paragraph">
    <w:name w:val="heading 2"/>
    <w:basedOn w:val="Style_6"/>
    <w:link w:val="Style_2_ch"/>
    <w:uiPriority w:val="9"/>
    <w:qFormat/>
    <w:pPr>
      <w:spacing w:afterAutospacing="on" w:beforeAutospacing="on"/>
      <w:ind/>
      <w:outlineLvl w:val="1"/>
    </w:pPr>
    <w:rPr>
      <w:rFonts w:ascii="Times New Roman" w:hAnsi="Times New Roman"/>
      <w:b w:val="1"/>
      <w:sz w:val="36"/>
    </w:rPr>
  </w:style>
  <w:style w:styleId="Style_2_ch" w:type="character">
    <w:name w:val="heading 2"/>
    <w:basedOn w:val="Style_6_ch"/>
    <w:link w:val="Style_2"/>
    <w:rPr>
      <w:rFonts w:ascii="Times New Roman" w:hAnsi="Times New Roman"/>
      <w:b w:val="1"/>
      <w:sz w:val="36"/>
    </w:rPr>
  </w:style>
  <w:style w:styleId="Style_3" w:type="paragraph">
    <w:name w:val="Strong"/>
    <w:basedOn w:val="Style_19"/>
    <w:link w:val="Style_3_ch"/>
    <w:rPr>
      <w:b w:val="1"/>
    </w:rPr>
  </w:style>
  <w:style w:styleId="Style_3_ch" w:type="character">
    <w:name w:val="Strong"/>
    <w:basedOn w:val="Style_19_ch"/>
    <w:link w:val="Style_3"/>
    <w:rPr>
      <w:b w:val="1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2025-11-21T08:05:24Z</dcterms:modified>
</cp:coreProperties>
</file>