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color w:val="000000"/>
        </w:rPr>
      </w:pPr>
      <w:bookmarkStart w:id="1" w:name="_GoBack"/>
      <w:bookmarkEnd w:id="1"/>
      <w:r>
        <w:rPr>
          <w:rFonts w:ascii="Times New Roman" w:hAnsi="Times New Roman"/>
          <w:color w:val="000000"/>
        </w:rPr>
        <w:t>Описание ОБП53: Организация материально-технического обеспечения деятельности суда в соответствии с действующими нормативно-правовыми актами</w:t>
      </w:r>
    </w:p>
    <w:p w14:paraId="02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1. Нормативно-правовые акты (НПА)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9140"/>
      </w:tblGrid>
      <w:tr>
        <w:trPr>
          <w:tblHeader/>
        </w:trP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3000000">
            <w:pPr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Название НПА с реквизитами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4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5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Приказ Судебного департамента при Верховном Суде РФ от 29.06.2010 N 135 "Об утверждении Положения о Главном финансово-экономическом </w:t>
            </w:r>
            <w:r>
              <w:rPr>
                <w:rFonts w:ascii="Times New Roman" w:hAnsi="Times New Roman"/>
                <w:color w:val="000000"/>
              </w:rPr>
              <w:t>управлении Судебного департамента при Верховном Суде Российской Федерации" (ред. от 25.12.2024)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6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Судебного департамента при Верховном Суде РФ от 28.06.2013 N 129 "Об утверждении порядка подготовки обоснований бюджетных ассигнований на очередной фина</w:t>
            </w:r>
            <w:r>
              <w:rPr>
                <w:rFonts w:ascii="Times New Roman" w:hAnsi="Times New Roman"/>
                <w:color w:val="000000"/>
              </w:rPr>
              <w:t>нсовый год и плановый период" (ред. от 18.02.2019)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7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Судебного департамента при Верховном Суде РФ от 11.05.2023 N 81 "Об утверждении Положения о порядке и нормах обеспечения мантиями и служебным обмундированием судей федеральных судов общей юрисдикци</w:t>
            </w:r>
            <w:r>
              <w:rPr>
                <w:rFonts w:ascii="Times New Roman" w:hAnsi="Times New Roman"/>
                <w:color w:val="000000"/>
              </w:rPr>
              <w:t>и и федеральных арбитражных судов, Положения о порядке и нормах обеспечения служебным обмундированием имеющих классные чины работников федеральных судов общей юрисдикции и федеральных арбитражных судов" (с изм. от 11.08.2025)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8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Минфина России от 31.1</w:t>
            </w:r>
            <w:r>
              <w:rPr>
                <w:rFonts w:ascii="Times New Roman" w:hAnsi="Times New Roman"/>
                <w:color w:val="000000"/>
              </w:rPr>
              <w:t>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</w:t>
            </w:r>
            <w:r>
              <w:rPr>
                <w:rFonts w:ascii="Times New Roman" w:hAnsi="Times New Roman"/>
                <w:color w:val="000000"/>
              </w:rPr>
              <w:t>те России 27.04.2017 N 46517)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9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Минфина России от 25.03.2011 N 33н (ред. от 30.09.2024) "Об 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</w:t>
            </w:r>
            <w:r>
              <w:rPr>
                <w:rFonts w:ascii="Times New Roman" w:hAnsi="Times New Roman"/>
                <w:color w:val="000000"/>
              </w:rPr>
              <w:t>ых учреждений" (Зарегистрировано в Минюсте России 22.04.2011 N 20558) (с изм. и доп., вступ. в силу с 01.01.2025)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A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Минфина России от 30.03.2015 N 52н (ред. от 15.06.2020) "Об утверждении форм первичных учетных документов и регистров бухгалтерского у</w:t>
            </w:r>
            <w:r>
              <w:rPr>
                <w:rFonts w:ascii="Times New Roman" w:hAnsi="Times New Roman"/>
                <w:color w:val="000000"/>
              </w:rPr>
              <w:t>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</w:t>
            </w:r>
            <w:r>
              <w:rPr>
                <w:rFonts w:ascii="Times New Roman" w:hAnsi="Times New Roman"/>
                <w:color w:val="000000"/>
              </w:rPr>
              <w:t>нению" (Зарегистрировано в Минюсте России 02.06.2015 N 37519)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B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Минфина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</w:t>
            </w:r>
            <w:r>
              <w:rPr>
                <w:rFonts w:ascii="Times New Roman" w:hAnsi="Times New Roman"/>
                <w:color w:val="000000"/>
              </w:rPr>
              <w:t>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>
        <w:tc>
          <w:tcPr>
            <w:tcW w:type="dxa" w:w="91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0C000000">
            <w:pPr>
              <w:pStyle w:val="Style_5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</w:t>
            </w:r>
            <w:r>
              <w:rPr>
                <w:rFonts w:ascii="Times New Roman" w:hAnsi="Times New Roman"/>
                <w:color w:val="000000"/>
              </w:rPr>
              <w:t>18 N 51123)</w:t>
            </w:r>
          </w:p>
        </w:tc>
      </w:tr>
    </w:tbl>
    <w:p w14:paraId="0D000000">
      <w:pPr>
        <w:rPr>
          <w:color w:val="000000"/>
        </w:rPr>
      </w:pPr>
      <w:r>
        <w:rPr>
          <w:rFonts w:ascii="Times New Roman" w:hAnsi="Times New Roman"/>
          <w:color w:val="000000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" name="Picture 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E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2. Схема процесса</w:t>
      </w:r>
    </w:p>
    <w:p w14:paraId="0F000000">
      <w:pPr>
        <w:pStyle w:val="Style_6"/>
        <w:rPr>
          <w:color w:val="000000"/>
        </w:rPr>
      </w:pPr>
      <w:r>
        <w:rPr>
          <w:rFonts w:ascii="Times New Roman" w:hAnsi="Times New Roman"/>
          <w:color w:val="000000"/>
        </w:rPr>
        <w:t xml:space="preserve">BPMN-файл: </w:t>
      </w:r>
      <w:r>
        <w:rPr>
          <w:color w:val="000000"/>
        </w:rPr>
        <w:t>OBP53_formirovaniye_potrebnosti_MTO_bpmn_tobe.bpmn</w:t>
      </w:r>
    </w:p>
    <w:p w14:paraId="10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3. Описание схемы бизнес-процессов</w:t>
      </w:r>
    </w:p>
    <w:tbl>
      <w:tblPr>
        <w:tblStyle w:val="Style_4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№ действия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Роль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Входящие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Исходящие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Наименование шага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Срок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Описание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Поступила заявка на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Сотруднику отдела МТО поступает заявка на МТО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Заявка на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Запросить наличие ТМЦ на складе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 выполняет задачу: Запросить наличие ТМЦ на складе.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Проверить наличие ТМЦ на складе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 выполняет задачу: Проверить наличие ТМЦ на складе.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Товар есть на складе?.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шлюз 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Товар есть на складе?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Да - переход к шагу 4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Нет - переход к шагу 5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ТМЦ есть в наличии (переход к ОБП-55 Организация отпуска ТМЦ)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Сводная заявка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Создать/скорректировать сводную заявку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При отсутствии товара на складе сотрудник отдела МТО, добавляет необходимый товар в сводную заявку (электронная таблица) или создаёт сводную заявку на основе необходимых ТМЦ.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Рассчитать потребность в закупке по видам ТМЦ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 рассчитывает потребность в закупке по видам ТМЦ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Закупка будет проводиться, если потребность в ТМЦ определенного вида достаточна для проведения конкурса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Установить достаточность для проведения конкурса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 устанавливает достаточность количества требуемых товаров для проведения конкурса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 шлюз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Эксклюзивный шлюз переход к шагу 9. 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Система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Сводная заявка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Рассчитать сумму закупки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После того как потребность в ТМЦ достаточна, система на основе сформированной сводной заявки рассчитывает сумму закупки, которая равна сумме стоимости ТМЦ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бухгалтерского учета и отчетности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Сумма закупки согласованная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Согласовать сумму закупки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Для согласования суммы закупки руководитель МТО звонит сотруднику отдела бухгалтерского учета и отчетности и уточняет финансовый вопрос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Сотрудник отдела бухгалтерского учета и отчетности согласовывает сумму закупки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Сотрудник отдела бухгалтерского учета и отчетности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Сумма согласована?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шлюз 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Сумма согласована?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Да - переход к шагу 12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Нет - переход к шагу 8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Список ТМЦ для размещения закупки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Сводная заявка скорректированная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Подготовить список ТМЦ для закупки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 после согласования суммы закупки подготавливает список ТМЦ, в котором указан перечень ТМЦ, на основе которого будет происходить закупка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МТО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Подготовлен список ТМЦ для размещения закупки (переход к ОБП18:Участвовать в госзакупках)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left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Style w:val="Style_7_ch"/>
                <w:rFonts w:ascii="Times New Roman" w:hAnsi="Times New Roman"/>
                <w:color w:val="000000"/>
                <w:sz w:val="18"/>
              </w:rPr>
              <w:t>Завершение процесса</w:t>
            </w:r>
          </w:p>
        </w:tc>
      </w:tr>
    </w:tbl>
    <w:p w14:paraId="7A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4. Пользователи и роли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2649"/>
        <w:gridCol w:w="5688"/>
      </w:tblGrid>
      <w:tr>
        <w:tc>
          <w:tcPr>
            <w:tcW w:type="dxa" w:w="2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7B000000">
            <w:pPr>
              <w:pStyle w:val="Style_5"/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Роль</w:t>
            </w:r>
          </w:p>
        </w:tc>
        <w:tc>
          <w:tcPr>
            <w:tcW w:type="dxa" w:w="568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7C000000">
            <w:pPr>
              <w:pStyle w:val="Style_5"/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Описание</w:t>
            </w:r>
          </w:p>
        </w:tc>
      </w:tr>
      <w:tr>
        <w:tc>
          <w:tcPr>
            <w:tcW w:type="dxa" w:w="2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7D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Сотрудник отдела МТО</w:t>
            </w:r>
          </w:p>
        </w:tc>
        <w:tc>
          <w:tcPr>
            <w:tcW w:type="dxa" w:w="568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7E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Формирование заявок на выдачу ТМЦ</w:t>
            </w:r>
          </w:p>
        </w:tc>
      </w:tr>
      <w:tr>
        <w:tc>
          <w:tcPr>
            <w:tcW w:type="dxa" w:w="2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7F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Руководитель отдела МТО</w:t>
            </w:r>
          </w:p>
        </w:tc>
        <w:tc>
          <w:tcPr>
            <w:tcW w:type="dxa" w:w="568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0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Согласование заявки, подготовка списка для закупки</w:t>
            </w:r>
          </w:p>
        </w:tc>
      </w:tr>
      <w:tr>
        <w:tc>
          <w:tcPr>
            <w:tcW w:type="dxa" w:w="2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1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Сотрудник отдела МТО</w:t>
            </w:r>
          </w:p>
        </w:tc>
        <w:tc>
          <w:tcPr>
            <w:tcW w:type="dxa" w:w="568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2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Согласование суммы закупки </w:t>
            </w:r>
          </w:p>
        </w:tc>
      </w:tr>
      <w:tr>
        <w:trPr>
          <w:trHeight w:hRule="atLeast" w:val="449"/>
        </w:trPr>
        <w:tc>
          <w:tcPr>
            <w:tcW w:type="dxa" w:w="2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300000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</w:t>
            </w:r>
          </w:p>
        </w:tc>
        <w:tc>
          <w:tcPr>
            <w:tcW w:type="dxa" w:w="568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400000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Расчет суммы закупки</w:t>
            </w:r>
          </w:p>
        </w:tc>
      </w:tr>
    </w:tbl>
    <w:p w14:paraId="85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5. Реестр справочников</w:t>
      </w:r>
    </w:p>
    <w:p w14:paraId="86000000">
      <w:pPr>
        <w:pStyle w:val="Style_5"/>
        <w:rPr>
          <w:color w:val="000000"/>
        </w:rPr>
      </w:pPr>
      <w:r>
        <w:rPr>
          <w:rFonts w:ascii="Times New Roman" w:hAnsi="Times New Roman"/>
          <w:color w:val="000000"/>
        </w:rPr>
        <w:t>В процессе не используются справочники</w:t>
      </w:r>
    </w:p>
    <w:p w14:paraId="87000000">
      <w:pPr>
        <w:pStyle w:val="Style_2"/>
        <w:rPr>
          <w:color w:val="000000"/>
        </w:rPr>
      </w:pPr>
      <w:r>
        <w:rPr>
          <w:rStyle w:val="Style_8_ch"/>
          <w:rFonts w:ascii="Times New Roman" w:hAnsi="Times New Roman"/>
          <w:color w:val="000000"/>
        </w:rPr>
        <w:t>6. Непроцессуальные документы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699"/>
        <w:gridCol w:w="1525"/>
        <w:gridCol w:w="1975"/>
        <w:gridCol w:w="2613"/>
        <w:gridCol w:w="2549"/>
      </w:tblGrid>
      <w:tr>
        <w:tc>
          <w:tcPr>
            <w:tcW w:type="dxa" w:w="69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8000000">
            <w:pPr>
              <w:pStyle w:val="Style_9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№ п/п</w:t>
            </w:r>
          </w:p>
        </w:tc>
        <w:tc>
          <w:tcPr>
            <w:tcW w:type="dxa" w:w="152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9000000">
            <w:pPr>
              <w:pStyle w:val="Style_9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Вид документа</w:t>
            </w:r>
          </w:p>
        </w:tc>
        <w:tc>
          <w:tcPr>
            <w:tcW w:type="dxa" w:w="197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A000000">
            <w:pPr>
              <w:pStyle w:val="Style_9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Наименование документа</w:t>
            </w:r>
          </w:p>
        </w:tc>
        <w:tc>
          <w:tcPr>
            <w:tcW w:type="dxa" w:w="261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B000000">
            <w:pPr>
              <w:pStyle w:val="Style_9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Форма (печатная/электронная)</w:t>
            </w:r>
          </w:p>
        </w:tc>
        <w:tc>
          <w:tcPr>
            <w:tcW w:type="dxa" w:w="25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C000000">
            <w:pPr>
              <w:pStyle w:val="Style_9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Образец / ссылка на облако, где располагается</w:t>
            </w:r>
          </w:p>
        </w:tc>
      </w:tr>
      <w:tr>
        <w:tc>
          <w:tcPr>
            <w:tcW w:type="dxa" w:w="69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D000000">
            <w:pPr>
              <w:pStyle w:val="Style_9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</w:t>
            </w:r>
          </w:p>
        </w:tc>
        <w:tc>
          <w:tcPr>
            <w:tcW w:type="dxa" w:w="152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E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Иные документы</w:t>
            </w:r>
          </w:p>
        </w:tc>
        <w:tc>
          <w:tcPr>
            <w:tcW w:type="dxa" w:w="197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F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Заявка на МТО</w:t>
            </w:r>
          </w:p>
        </w:tc>
        <w:tc>
          <w:tcPr>
            <w:tcW w:type="dxa" w:w="261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Электронная </w:t>
            </w:r>
          </w:p>
        </w:tc>
        <w:tc>
          <w:tcPr>
            <w:tcW w:type="dxa" w:w="25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1000000">
            <w:pPr>
              <w:pStyle w:val="Style_11"/>
              <w:rPr>
                <w:color w:val="000000"/>
              </w:rPr>
            </w:pPr>
          </w:p>
        </w:tc>
      </w:tr>
      <w:tr>
        <w:tc>
          <w:tcPr>
            <w:tcW w:type="dxa" w:w="69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2000000">
            <w:pPr>
              <w:pStyle w:val="Style_9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</w:p>
        </w:tc>
        <w:tc>
          <w:tcPr>
            <w:tcW w:type="dxa" w:w="152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3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Иные документы</w:t>
            </w:r>
          </w:p>
        </w:tc>
        <w:tc>
          <w:tcPr>
            <w:tcW w:type="dxa" w:w="197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4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Сводная заявка</w:t>
            </w:r>
          </w:p>
        </w:tc>
        <w:tc>
          <w:tcPr>
            <w:tcW w:type="dxa" w:w="261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5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Электронная </w:t>
            </w:r>
          </w:p>
        </w:tc>
        <w:tc>
          <w:tcPr>
            <w:tcW w:type="dxa" w:w="25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6000000">
            <w:pPr>
              <w:pStyle w:val="Style_11"/>
              <w:rPr>
                <w:color w:val="000000"/>
              </w:rPr>
            </w:pPr>
          </w:p>
        </w:tc>
      </w:tr>
      <w:tr>
        <w:tc>
          <w:tcPr>
            <w:tcW w:type="dxa" w:w="69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7000000">
            <w:pPr>
              <w:pStyle w:val="Style_9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</w:t>
            </w:r>
          </w:p>
        </w:tc>
        <w:tc>
          <w:tcPr>
            <w:tcW w:type="dxa" w:w="152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8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Иные документы</w:t>
            </w:r>
          </w:p>
        </w:tc>
        <w:tc>
          <w:tcPr>
            <w:tcW w:type="dxa" w:w="197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9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Список ТМЦ для размещения закупки</w:t>
            </w:r>
          </w:p>
        </w:tc>
        <w:tc>
          <w:tcPr>
            <w:tcW w:type="dxa" w:w="261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A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Электронная </w:t>
            </w:r>
          </w:p>
        </w:tc>
        <w:tc>
          <w:tcPr>
            <w:tcW w:type="dxa" w:w="25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B000000">
            <w:pPr>
              <w:pStyle w:val="Style_11"/>
              <w:rPr>
                <w:color w:val="000000"/>
              </w:rPr>
            </w:pPr>
          </w:p>
        </w:tc>
      </w:tr>
    </w:tbl>
    <w:p w14:paraId="9C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7. Межведомственное взаимодействие</w:t>
      </w:r>
    </w:p>
    <w:p w14:paraId="9D000000">
      <w:pPr>
        <w:pStyle w:val="Style_5"/>
        <w:rPr>
          <w:color w:val="000000"/>
        </w:rPr>
      </w:pPr>
      <w:r>
        <w:rPr>
          <w:rFonts w:ascii="Times New Roman" w:hAnsi="Times New Roman"/>
          <w:color w:val="000000"/>
        </w:rPr>
        <w:t>Межведомственное взаимодействие отсутствует</w:t>
      </w:r>
    </w:p>
    <w:p w14:paraId="9E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8. Информация о сроках</w:t>
      </w:r>
    </w:p>
    <w:p w14:paraId="9F000000">
      <w:pPr>
        <w:pStyle w:val="Style_5"/>
      </w:pPr>
      <w:r>
        <w:rPr>
          <w:rFonts w:ascii="Times New Roman" w:hAnsi="Times New Roman"/>
          <w:color w:val="000000"/>
        </w:rPr>
        <w:t>Сроки действий в процессе не регламентированы</w:t>
      </w:r>
    </w:p>
    <w:p w14:paraId="A0000000">
      <w:pPr>
        <w:pStyle w:val="Style_5"/>
      </w:pPr>
    </w:p>
    <w:p w14:paraId="A1000000">
      <w:pPr>
        <w:pStyle w:val="Style_5"/>
      </w:pPr>
    </w:p>
    <w:sectPr>
      <w:pgSz w:h="15840" w:orient="portrait" w:w="12240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rPr>
      <w:rFonts w:ascii="Times New Roman" w:hAnsi="Times New Roman"/>
      <w:sz w:val="24"/>
    </w:rPr>
  </w:style>
  <w:style w:default="1" w:styleId="Style_7_ch" w:type="character">
    <w:name w:val="Normal"/>
    <w:link w:val="Style_7"/>
    <w:rPr>
      <w:rFonts w:ascii="Times New Roman" w:hAnsi="Times New Roman"/>
      <w:sz w:val="24"/>
    </w:rPr>
  </w:style>
  <w:style w:styleId="Style_9" w:type="paragraph">
    <w:name w:val="p8"/>
    <w:basedOn w:val="Style_7"/>
    <w:link w:val="Style_9_ch"/>
    <w:pPr>
      <w:spacing w:afterAutospacing="on" w:beforeAutospacing="on"/>
      <w:ind/>
    </w:pPr>
    <w:rPr>
      <w:rFonts w:ascii="Times New Roman" w:hAnsi="Times New Roman"/>
    </w:rPr>
  </w:style>
  <w:style w:styleId="Style_9_ch" w:type="character">
    <w:name w:val="p8"/>
    <w:basedOn w:val="Style_7_ch"/>
    <w:link w:val="Style_9"/>
    <w:rPr>
      <w:rFonts w:ascii="Times New Roman" w:hAnsi="Times New Roman"/>
    </w:rPr>
  </w:style>
  <w:style w:styleId="Style_12" w:type="paragraph">
    <w:name w:val="toc 2"/>
    <w:next w:val="Style_7"/>
    <w:link w:val="Style_1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2_ch" w:type="character">
    <w:name w:val="toc 2"/>
    <w:link w:val="Style_12"/>
    <w:rPr>
      <w:rFonts w:ascii="XO Thames" w:hAnsi="XO Thames"/>
      <w:sz w:val="28"/>
    </w:rPr>
  </w:style>
  <w:style w:styleId="Style_13" w:type="paragraph">
    <w:name w:val="toc 4"/>
    <w:next w:val="Style_7"/>
    <w:link w:val="Style_1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3_ch" w:type="character">
    <w:name w:val="toc 4"/>
    <w:link w:val="Style_13"/>
    <w:rPr>
      <w:rFonts w:ascii="XO Thames" w:hAnsi="XO Thames"/>
      <w:sz w:val="28"/>
    </w:rPr>
  </w:style>
  <w:style w:styleId="Style_3" w:type="paragraph">
    <w:name w:val="Strong"/>
    <w:basedOn w:val="Style_14"/>
    <w:link w:val="Style_3_ch"/>
    <w:rPr>
      <w:b w:val="1"/>
    </w:rPr>
  </w:style>
  <w:style w:styleId="Style_3_ch" w:type="character">
    <w:name w:val="Strong"/>
    <w:basedOn w:val="Style_14_ch"/>
    <w:link w:val="Style_3"/>
    <w:rPr>
      <w:b w:val="1"/>
    </w:rPr>
  </w:style>
  <w:style w:styleId="Style_15" w:type="paragraph">
    <w:name w:val="toc 6"/>
    <w:next w:val="Style_7"/>
    <w:link w:val="Style_1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toc 7"/>
    <w:next w:val="Style_7"/>
    <w:link w:val="Style_1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6_ch" w:type="character">
    <w:name w:val="toc 7"/>
    <w:link w:val="Style_16"/>
    <w:rPr>
      <w:rFonts w:ascii="XO Thames" w:hAnsi="XO Thames"/>
      <w:sz w:val="28"/>
    </w:rPr>
  </w:style>
  <w:style w:styleId="Style_10" w:type="paragraph">
    <w:name w:val="p3"/>
    <w:basedOn w:val="Style_7"/>
    <w:link w:val="Style_10_ch"/>
    <w:pPr>
      <w:spacing w:afterAutospacing="on" w:beforeAutospacing="on"/>
      <w:ind/>
    </w:pPr>
    <w:rPr>
      <w:rFonts w:ascii="Times New Roman" w:hAnsi="Times New Roman"/>
    </w:rPr>
  </w:style>
  <w:style w:styleId="Style_10_ch" w:type="character">
    <w:name w:val="p3"/>
    <w:basedOn w:val="Style_7_ch"/>
    <w:link w:val="Style_10"/>
    <w:rPr>
      <w:rFonts w:ascii="Times New Roman" w:hAnsi="Times New Roman"/>
    </w:rPr>
  </w:style>
  <w:style w:styleId="Style_17" w:type="paragraph">
    <w:name w:val="End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next w:val="Style_7"/>
    <w:link w:val="Style_1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8_ch" w:type="character">
    <w:name w:val="heading 3"/>
    <w:link w:val="Style_18"/>
    <w:rPr>
      <w:rFonts w:ascii="XO Thames" w:hAnsi="XO Thames"/>
      <w:b w:val="1"/>
      <w:sz w:val="26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9" w:type="paragraph">
    <w:name w:val="toc 3"/>
    <w:next w:val="Style_7"/>
    <w:link w:val="Style_1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9_ch" w:type="character">
    <w:name w:val="toc 3"/>
    <w:link w:val="Style_19"/>
    <w:rPr>
      <w:rFonts w:ascii="XO Thames" w:hAnsi="XO Thames"/>
      <w:sz w:val="28"/>
    </w:rPr>
  </w:style>
  <w:style w:styleId="Style_20" w:type="paragraph">
    <w:name w:val="heading 5"/>
    <w:next w:val="Style_7"/>
    <w:link w:val="Style_2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0_ch" w:type="character">
    <w:name w:val="heading 5"/>
    <w:link w:val="Style_20"/>
    <w:rPr>
      <w:rFonts w:ascii="XO Thames" w:hAnsi="XO Thames"/>
      <w:b w:val="1"/>
      <w:sz w:val="22"/>
    </w:rPr>
  </w:style>
  <w:style w:styleId="Style_1" w:type="paragraph">
    <w:name w:val="heading 1"/>
    <w:basedOn w:val="Style_7"/>
    <w:link w:val="Style_1_ch"/>
    <w:uiPriority w:val="9"/>
    <w:qFormat/>
    <w:pPr>
      <w:spacing w:afterAutospacing="on" w:beforeAutospacing="on"/>
      <w:ind/>
      <w:outlineLvl w:val="0"/>
    </w:pPr>
    <w:rPr>
      <w:rFonts w:ascii="Times New Roman" w:hAnsi="Times New Roman"/>
      <w:b w:val="1"/>
      <w:sz w:val="48"/>
    </w:rPr>
  </w:style>
  <w:style w:styleId="Style_1_ch" w:type="character">
    <w:name w:val="heading 1"/>
    <w:basedOn w:val="Style_7_ch"/>
    <w:link w:val="Style_1"/>
    <w:rPr>
      <w:rFonts w:ascii="Times New Roman" w:hAnsi="Times New Roman"/>
      <w:b w:val="1"/>
      <w:sz w:val="48"/>
    </w:rPr>
  </w:style>
  <w:style w:styleId="Style_5" w:type="paragraph">
    <w:name w:val="Normal (Web)"/>
    <w:basedOn w:val="Style_7"/>
    <w:link w:val="Style_5_ch"/>
    <w:pPr>
      <w:spacing w:afterAutospacing="on" w:beforeAutospacing="on"/>
      <w:ind/>
    </w:pPr>
    <w:rPr>
      <w:rFonts w:ascii="Times New Roman" w:hAnsi="Times New Roman"/>
    </w:rPr>
  </w:style>
  <w:style w:styleId="Style_5_ch" w:type="character">
    <w:name w:val="Normal (Web)"/>
    <w:basedOn w:val="Style_7_ch"/>
    <w:link w:val="Style_5"/>
    <w:rPr>
      <w:rFonts w:ascii="Times New Roman" w:hAnsi="Times New Roman"/>
    </w:rPr>
  </w:style>
  <w:style w:styleId="Style_21" w:type="paragraph">
    <w:name w:val="Hyperlink"/>
    <w:link w:val="Style_21_ch"/>
    <w:rPr>
      <w:color w:val="0000FF"/>
      <w:u w:val="single"/>
    </w:rPr>
  </w:style>
  <w:style w:styleId="Style_21_ch" w:type="character">
    <w:name w:val="Hyperlink"/>
    <w:link w:val="Style_21"/>
    <w:rPr>
      <w:color w:val="0000FF"/>
      <w:u w:val="single"/>
    </w:rPr>
  </w:style>
  <w:style w:styleId="Style_22" w:type="paragraph">
    <w:name w:val="Foot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toc 1"/>
    <w:next w:val="Style_7"/>
    <w:link w:val="Style_2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Header and Footer"/>
    <w:link w:val="Style_24_ch"/>
    <w:pPr>
      <w:spacing w:line="240" w:lineRule="auto"/>
      <w:ind/>
      <w:jc w:val="both"/>
    </w:pPr>
    <w:rPr>
      <w:rFonts w:ascii="XO Thames" w:hAnsi="XO Thames"/>
      <w:sz w:val="28"/>
    </w:rPr>
  </w:style>
  <w:style w:styleId="Style_24_ch" w:type="character">
    <w:name w:val="Header and Footer"/>
    <w:link w:val="Style_24"/>
    <w:rPr>
      <w:rFonts w:ascii="XO Thames" w:hAnsi="XO Thames"/>
      <w:sz w:val="28"/>
    </w:rPr>
  </w:style>
  <w:style w:styleId="Style_11" w:type="paragraph">
    <w:name w:val="p2"/>
    <w:basedOn w:val="Style_7"/>
    <w:link w:val="Style_11_ch"/>
    <w:pPr>
      <w:spacing w:afterAutospacing="on" w:beforeAutospacing="on"/>
      <w:ind/>
    </w:pPr>
    <w:rPr>
      <w:rFonts w:ascii="Times New Roman" w:hAnsi="Times New Roman"/>
    </w:rPr>
  </w:style>
  <w:style w:styleId="Style_11_ch" w:type="character">
    <w:name w:val="p2"/>
    <w:basedOn w:val="Style_7_ch"/>
    <w:link w:val="Style_11"/>
    <w:rPr>
      <w:rFonts w:ascii="Times New Roman" w:hAnsi="Times New Roman"/>
    </w:rPr>
  </w:style>
  <w:style w:styleId="Style_25" w:type="paragraph">
    <w:name w:val="toc 9"/>
    <w:next w:val="Style_7"/>
    <w:link w:val="Style_2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5_ch" w:type="character">
    <w:name w:val="toc 9"/>
    <w:link w:val="Style_25"/>
    <w:rPr>
      <w:rFonts w:ascii="XO Thames" w:hAnsi="XO Thames"/>
      <w:sz w:val="28"/>
    </w:rPr>
  </w:style>
  <w:style w:styleId="Style_6" w:type="paragraph">
    <w:name w:val="code-line"/>
    <w:basedOn w:val="Style_7"/>
    <w:link w:val="Style_6_ch"/>
    <w:pPr>
      <w:spacing w:afterAutospacing="on" w:beforeAutospacing="on"/>
      <w:ind/>
    </w:pPr>
    <w:rPr>
      <w:rFonts w:ascii="Times New Roman" w:hAnsi="Times New Roman"/>
    </w:rPr>
  </w:style>
  <w:style w:styleId="Style_6_ch" w:type="character">
    <w:name w:val="code-line"/>
    <w:basedOn w:val="Style_7_ch"/>
    <w:link w:val="Style_6"/>
    <w:rPr>
      <w:rFonts w:ascii="Times New Roman" w:hAnsi="Times New Roman"/>
    </w:rPr>
  </w:style>
  <w:style w:styleId="Style_26" w:type="paragraph">
    <w:name w:val="toc 8"/>
    <w:next w:val="Style_7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7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next w:val="Style_7"/>
    <w:link w:val="Style_2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8_ch" w:type="character">
    <w:name w:val="Subtitle"/>
    <w:link w:val="Style_28"/>
    <w:rPr>
      <w:rFonts w:ascii="XO Thames" w:hAnsi="XO Thames"/>
      <w:i w:val="1"/>
      <w:sz w:val="24"/>
    </w:rPr>
  </w:style>
  <w:style w:styleId="Style_8" w:type="paragraph">
    <w:name w:val="s1"/>
    <w:basedOn w:val="Style_14"/>
    <w:link w:val="Style_8_ch"/>
  </w:style>
  <w:style w:styleId="Style_8_ch" w:type="character">
    <w:name w:val="s1"/>
    <w:basedOn w:val="Style_14_ch"/>
    <w:link w:val="Style_8"/>
  </w:style>
  <w:style w:styleId="Style_29" w:type="paragraph">
    <w:name w:val="Title"/>
    <w:next w:val="Style_7"/>
    <w:link w:val="Style_2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9_ch" w:type="character">
    <w:name w:val="Title"/>
    <w:link w:val="Style_29"/>
    <w:rPr>
      <w:rFonts w:ascii="XO Thames" w:hAnsi="XO Thames"/>
      <w:b w:val="1"/>
      <w:caps w:val="1"/>
      <w:sz w:val="40"/>
    </w:rPr>
  </w:style>
  <w:style w:styleId="Style_30" w:type="paragraph">
    <w:name w:val="heading 4"/>
    <w:next w:val="Style_7"/>
    <w:link w:val="Style_3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0_ch" w:type="character">
    <w:name w:val="heading 4"/>
    <w:link w:val="Style_30"/>
    <w:rPr>
      <w:rFonts w:ascii="XO Thames" w:hAnsi="XO Thames"/>
      <w:b w:val="1"/>
      <w:sz w:val="24"/>
    </w:rPr>
  </w:style>
  <w:style w:styleId="Style_31" w:type="paragraph">
    <w:name w:val="msonormal"/>
    <w:basedOn w:val="Style_7"/>
    <w:link w:val="Style_31_ch"/>
    <w:pPr>
      <w:spacing w:afterAutospacing="on" w:beforeAutospacing="on"/>
      <w:ind/>
    </w:pPr>
    <w:rPr>
      <w:rFonts w:ascii="Times New Roman" w:hAnsi="Times New Roman"/>
    </w:rPr>
  </w:style>
  <w:style w:styleId="Style_31_ch" w:type="character">
    <w:name w:val="msonormal"/>
    <w:basedOn w:val="Style_7_ch"/>
    <w:link w:val="Style_31"/>
    <w:rPr>
      <w:rFonts w:ascii="Times New Roman" w:hAnsi="Times New Roman"/>
    </w:rPr>
  </w:style>
  <w:style w:styleId="Style_2" w:type="paragraph">
    <w:name w:val="heading 2"/>
    <w:basedOn w:val="Style_7"/>
    <w:link w:val="Style_2_ch"/>
    <w:uiPriority w:val="9"/>
    <w:qFormat/>
    <w:pPr>
      <w:spacing w:afterAutospacing="on" w:beforeAutospacing="on"/>
      <w:ind/>
      <w:outlineLvl w:val="1"/>
    </w:pPr>
    <w:rPr>
      <w:rFonts w:ascii="Times New Roman" w:hAnsi="Times New Roman"/>
      <w:b w:val="1"/>
      <w:sz w:val="36"/>
    </w:rPr>
  </w:style>
  <w:style w:styleId="Style_2_ch" w:type="character">
    <w:name w:val="heading 2"/>
    <w:basedOn w:val="Style_7_ch"/>
    <w:link w:val="Style_2"/>
    <w:rPr>
      <w:rFonts w:ascii="Times New Roman" w:hAnsi="Times New Roman"/>
      <w:b w:val="1"/>
      <w:sz w:val="36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2025-11-21T09:15:26Z</dcterms:modified>
</cp:coreProperties>
</file>