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before="240" w:after="120"/>
        <w:ind w:hanging="0" w:start="0" w:end="0"/>
        <w:jc w:val="start"/>
        <w:rPr/>
      </w:pPr>
      <w:bookmarkStart w:id="0" w:name="title-text"/>
      <w:bookmarkEnd w:id="0"/>
      <w:r>
        <w:rPr/>
        <w:t>Описание ТБП115: Определить состав ЛУВД</w:t>
      </w:r>
    </w:p>
    <w:p>
      <w:pPr>
        <w:pStyle w:val="BodyText"/>
        <w:bidi w:val="0"/>
        <w:jc w:val="start"/>
        <w:rPr/>
      </w:pPr>
      <w:r>
        <w:rPr/>
      </w:r>
    </w:p>
    <w:p>
      <w:pPr>
        <w:pStyle w:val="Heading2"/>
        <w:bidi w:val="0"/>
        <w:jc w:val="start"/>
        <w:rPr/>
      </w:pPr>
      <w:r>
        <w:rPr/>
        <w:t>1. Нормативно-правовые акты (НПА)</w:t>
      </w:r>
    </w:p>
    <w:p>
      <w:pPr>
        <w:pStyle w:val="BodyText"/>
        <w:numPr>
          <w:ilvl w:val="0"/>
          <w:numId w:val="1"/>
        </w:numPr>
        <w:tabs>
          <w:tab w:val="clear" w:pos="709"/>
          <w:tab w:val="left" w:pos="709" w:leader="none"/>
        </w:tabs>
        <w:bidi w:val="0"/>
        <w:ind w:hanging="283" w:start="709"/>
        <w:jc w:val="start"/>
        <w:rPr/>
      </w:pPr>
      <w:r>
        <w:rPr/>
        <w:t>"Арбитражный процессуальный кодекс Российской Федерации" от 24.07.2002 N 95-ФЗ</w:t>
      </w:r>
    </w:p>
    <w:p>
      <w:pPr>
        <w:pStyle w:val="BodyText"/>
        <w:numPr>
          <w:ilvl w:val="0"/>
          <w:numId w:val="1"/>
        </w:numPr>
        <w:tabs>
          <w:tab w:val="clear" w:pos="709"/>
          <w:tab w:val="left" w:pos="709" w:leader="none"/>
        </w:tabs>
        <w:bidi w:val="0"/>
        <w:ind w:hanging="283" w:start="709"/>
        <w:jc w:val="start"/>
        <w:rPr/>
      </w:pPr>
      <w:r>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p>
      <w:pPr>
        <w:pStyle w:val="Heading2"/>
        <w:bidi w:val="0"/>
        <w:jc w:val="start"/>
        <w:rPr/>
      </w:pPr>
      <w:r>
        <w:rPr/>
        <w:t>2. Схема процесса</w:t>
      </w:r>
    </w:p>
    <w:p>
      <w:pPr>
        <w:pStyle w:val="BodyText"/>
        <w:bidi w:val="0"/>
        <w:jc w:val="start"/>
        <w:rPr/>
      </w:pPr>
      <w:r>
        <w:rPr>
          <w:rStyle w:val="Strong"/>
        </w:rPr>
        <w:t>Файл схемы:</w:t>
      </w:r>
      <w:r>
        <w:rPr/>
        <w:t> </w:t>
      </w:r>
      <w:r>
        <w:rPr>
          <w:rStyle w:val="Style13"/>
        </w:rPr>
        <w:t>TBP115_opredelit_sostav_LUVD_bpmn_asis (1).bpmn</w:t>
      </w:r>
    </w:p>
    <w:p>
      <w:pPr>
        <w:pStyle w:val="Heading2"/>
        <w:bidi w:val="0"/>
        <w:jc w:val="start"/>
        <w:rPr/>
      </w:pPr>
      <w:r>
        <w:rPr/>
        <w:t>3. Описание схемы бизнес-процессов</w:t>
      </w:r>
    </w:p>
    <w:tbl>
      <w:tblPr>
        <w:tblW w:w="20009" w:type="dxa"/>
        <w:jc w:val="start"/>
        <w:tblInd w:w="0" w:type="dxa"/>
        <w:tblLayout w:type="fixed"/>
        <w:tblCellMar>
          <w:top w:w="28" w:type="dxa"/>
          <w:start w:w="28" w:type="dxa"/>
          <w:bottom w:w="28" w:type="dxa"/>
          <w:end w:w="28" w:type="dxa"/>
        </w:tblCellMar>
      </w:tblPr>
      <w:tblGrid>
        <w:gridCol w:w="1189"/>
        <w:gridCol w:w="982"/>
        <w:gridCol w:w="1406"/>
        <w:gridCol w:w="2295"/>
        <w:gridCol w:w="2898"/>
        <w:gridCol w:w="670"/>
        <w:gridCol w:w="7957"/>
        <w:gridCol w:w="2612"/>
      </w:tblGrid>
      <w:tr>
        <w:trPr>
          <w:tblHeader w:val="true"/>
        </w:trPr>
        <w:tc>
          <w:tcPr>
            <w:tcW w:w="1189" w:type="dxa"/>
            <w:tcBorders/>
            <w:vAlign w:val="center"/>
          </w:tcPr>
          <w:p>
            <w:pPr>
              <w:pStyle w:val="Style17"/>
              <w:bidi w:val="0"/>
              <w:spacing w:before="0" w:after="283"/>
              <w:jc w:val="start"/>
              <w:rPr/>
            </w:pPr>
            <w:r>
              <w:rPr>
                <w:rStyle w:val="Strong"/>
                <w:b/>
              </w:rPr>
              <w:t>Номер действия</w:t>
            </w:r>
          </w:p>
        </w:tc>
        <w:tc>
          <w:tcPr>
            <w:tcW w:w="982" w:type="dxa"/>
            <w:tcBorders/>
            <w:vAlign w:val="center"/>
          </w:tcPr>
          <w:p>
            <w:pPr>
              <w:pStyle w:val="Style17"/>
              <w:bidi w:val="0"/>
              <w:spacing w:before="0" w:after="283"/>
              <w:jc w:val="start"/>
              <w:rPr/>
            </w:pPr>
            <w:r>
              <w:rPr>
                <w:rStyle w:val="Strong"/>
                <w:b/>
              </w:rPr>
              <w:t>Роль</w:t>
            </w:r>
          </w:p>
        </w:tc>
        <w:tc>
          <w:tcPr>
            <w:tcW w:w="1406" w:type="dxa"/>
            <w:tcBorders/>
            <w:vAlign w:val="center"/>
          </w:tcPr>
          <w:p>
            <w:pPr>
              <w:pStyle w:val="Style17"/>
              <w:bidi w:val="0"/>
              <w:spacing w:before="0" w:after="283"/>
              <w:jc w:val="start"/>
              <w:rPr/>
            </w:pPr>
            <w:r>
              <w:rPr>
                <w:rStyle w:val="Strong"/>
                <w:b/>
              </w:rPr>
              <w:t>Входящие материалы</w:t>
            </w:r>
          </w:p>
        </w:tc>
        <w:tc>
          <w:tcPr>
            <w:tcW w:w="2295" w:type="dxa"/>
            <w:tcBorders/>
            <w:vAlign w:val="center"/>
          </w:tcPr>
          <w:p>
            <w:pPr>
              <w:pStyle w:val="Style17"/>
              <w:bidi w:val="0"/>
              <w:spacing w:before="0" w:after="283"/>
              <w:jc w:val="start"/>
              <w:rPr/>
            </w:pPr>
            <w:r>
              <w:rPr>
                <w:rStyle w:val="Strong"/>
                <w:b/>
              </w:rPr>
              <w:t>Исходящие материалы</w:t>
            </w:r>
          </w:p>
        </w:tc>
        <w:tc>
          <w:tcPr>
            <w:tcW w:w="2898" w:type="dxa"/>
            <w:tcBorders/>
            <w:vAlign w:val="center"/>
          </w:tcPr>
          <w:p>
            <w:pPr>
              <w:pStyle w:val="Style17"/>
              <w:bidi w:val="0"/>
              <w:spacing w:before="0" w:after="283"/>
              <w:jc w:val="start"/>
              <w:rPr/>
            </w:pPr>
            <w:r>
              <w:rPr>
                <w:rStyle w:val="Strong"/>
                <w:b/>
              </w:rPr>
              <w:t>Наименование шага процесса</w:t>
            </w:r>
          </w:p>
        </w:tc>
        <w:tc>
          <w:tcPr>
            <w:tcW w:w="670" w:type="dxa"/>
            <w:tcBorders/>
            <w:vAlign w:val="center"/>
          </w:tcPr>
          <w:p>
            <w:pPr>
              <w:pStyle w:val="Style17"/>
              <w:bidi w:val="0"/>
              <w:spacing w:before="0" w:after="283"/>
              <w:jc w:val="start"/>
              <w:rPr/>
            </w:pPr>
            <w:r>
              <w:rPr>
                <w:rStyle w:val="Strong"/>
                <w:b/>
              </w:rPr>
              <w:t>Срок</w:t>
            </w:r>
          </w:p>
        </w:tc>
        <w:tc>
          <w:tcPr>
            <w:tcW w:w="7957" w:type="dxa"/>
            <w:tcBorders/>
            <w:vAlign w:val="center"/>
          </w:tcPr>
          <w:p>
            <w:pPr>
              <w:pStyle w:val="Style17"/>
              <w:bidi w:val="0"/>
              <w:spacing w:before="0" w:after="283"/>
              <w:jc w:val="start"/>
              <w:rPr/>
            </w:pPr>
            <w:r>
              <w:rPr>
                <w:rStyle w:val="Strong"/>
                <w:b/>
              </w:rPr>
              <w:t>Описание процесса</w:t>
            </w:r>
          </w:p>
        </w:tc>
        <w:tc>
          <w:tcPr>
            <w:tcW w:w="2612" w:type="dxa"/>
            <w:tcBorders/>
            <w:vAlign w:val="center"/>
          </w:tcPr>
          <w:p>
            <w:pPr>
              <w:pStyle w:val="Style17"/>
              <w:bidi w:val="0"/>
              <w:spacing w:before="0" w:after="283"/>
              <w:jc w:val="start"/>
              <w:rPr/>
            </w:pPr>
            <w:r>
              <w:rPr>
                <w:rStyle w:val="Strong"/>
                <w:b/>
              </w:rPr>
              <w:t>Предложения по автоматизации</w:t>
            </w:r>
          </w:p>
        </w:tc>
      </w:tr>
      <w:tr>
        <w:trPr/>
        <w:tc>
          <w:tcPr>
            <w:tcW w:w="1189" w:type="dxa"/>
            <w:tcBorders/>
            <w:vAlign w:val="center"/>
          </w:tcPr>
          <w:p>
            <w:pPr>
              <w:pStyle w:val="Style16"/>
              <w:bidi w:val="0"/>
              <w:spacing w:before="0" w:after="283"/>
              <w:jc w:val="start"/>
              <w:rPr/>
            </w:pPr>
            <w:r>
              <w:rPr/>
              <w:t>0</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Возникла необходимость определить состав ЛУВД</w:t>
              <w:br/>
              <w:t>Стартовое событие</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Согласно ст. 40 АПК РФ, лицами, участвующими в деле, являются:</w:t>
            </w:r>
          </w:p>
          <w:p>
            <w:pPr>
              <w:pStyle w:val="Style16"/>
              <w:numPr>
                <w:ilvl w:val="0"/>
                <w:numId w:val="2"/>
              </w:numPr>
              <w:tabs>
                <w:tab w:val="clear" w:pos="709"/>
                <w:tab w:val="left" w:pos="709" w:leader="none"/>
              </w:tabs>
              <w:bidi w:val="0"/>
              <w:spacing w:before="0" w:after="283"/>
              <w:ind w:hanging="283" w:start="709"/>
              <w:jc w:val="start"/>
              <w:rPr/>
            </w:pPr>
            <w:r>
              <w:rPr/>
              <w:t>стороны;</w:t>
            </w:r>
          </w:p>
          <w:p>
            <w:pPr>
              <w:pStyle w:val="Style16"/>
              <w:numPr>
                <w:ilvl w:val="0"/>
                <w:numId w:val="2"/>
              </w:numPr>
              <w:tabs>
                <w:tab w:val="clear" w:pos="709"/>
                <w:tab w:val="left" w:pos="709" w:leader="none"/>
              </w:tabs>
              <w:bidi w:val="0"/>
              <w:spacing w:before="0" w:after="283"/>
              <w:ind w:hanging="283" w:start="709"/>
              <w:jc w:val="start"/>
              <w:rPr/>
            </w:pPr>
            <w:r>
              <w:rPr/>
              <w:t>заявители и заинтересованные лица - по делам особого производства, по делам о несостоятельности (банкротстве) и в иных предусмотренных настоящим Кодексом случаях;</w:t>
            </w:r>
          </w:p>
          <w:p>
            <w:pPr>
              <w:pStyle w:val="Style16"/>
              <w:numPr>
                <w:ilvl w:val="0"/>
                <w:numId w:val="2"/>
              </w:numPr>
              <w:tabs>
                <w:tab w:val="clear" w:pos="709"/>
                <w:tab w:val="left" w:pos="709" w:leader="none"/>
              </w:tabs>
              <w:bidi w:val="0"/>
              <w:spacing w:before="0" w:after="283"/>
              <w:ind w:hanging="283" w:start="709"/>
              <w:jc w:val="start"/>
              <w:rPr/>
            </w:pPr>
            <w:r>
              <w:rPr/>
              <w:t>третьи лица;</w:t>
            </w:r>
          </w:p>
          <w:p>
            <w:pPr>
              <w:pStyle w:val="Style16"/>
              <w:numPr>
                <w:ilvl w:val="0"/>
                <w:numId w:val="2"/>
              </w:numPr>
              <w:tabs>
                <w:tab w:val="clear" w:pos="709"/>
                <w:tab w:val="left" w:pos="709" w:leader="none"/>
              </w:tabs>
              <w:bidi w:val="0"/>
              <w:spacing w:before="0" w:after="283"/>
              <w:ind w:hanging="283" w:start="709"/>
              <w:jc w:val="start"/>
              <w:rPr/>
            </w:pPr>
            <w:r>
              <w:rPr/>
              <w:t>прокурор, государственные органы, органы местного самоуправления, иные органы и организации, граждане, обратившиеся в арбитражный суд в случаях, предусмотренных АПК РФ.</w:t>
            </w:r>
          </w:p>
          <w:p>
            <w:pPr>
              <w:pStyle w:val="Style16"/>
              <w:bidi w:val="0"/>
              <w:spacing w:before="0" w:after="283"/>
              <w:jc w:val="start"/>
              <w:rPr/>
            </w:pPr>
            <w:r>
              <w:rPr/>
              <w:t>Судья приступает к процессу определения круга лиц, участвующих в деле.</w:t>
            </w:r>
          </w:p>
          <w:p>
            <w:pPr>
              <w:pStyle w:val="Style16"/>
              <w:bidi w:val="0"/>
              <w:spacing w:before="0" w:after="283"/>
              <w:jc w:val="start"/>
              <w:rPr/>
            </w:pPr>
            <w:r>
              <w:rPr/>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1</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Первичный документ</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Определить основных ЛУВД из ПД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анализирует первичный документ для определения основных ЛУВД по делу.</w:t>
            </w:r>
          </w:p>
        </w:tc>
        <w:tc>
          <w:tcPr>
            <w:tcW w:w="2612" w:type="dxa"/>
            <w:tcBorders/>
            <w:vAlign w:val="center"/>
          </w:tcPr>
          <w:p>
            <w:pPr>
              <w:pStyle w:val="Style16"/>
              <w:bidi w:val="0"/>
              <w:spacing w:before="0" w:after="283"/>
              <w:jc w:val="start"/>
              <w:rPr/>
            </w:pPr>
            <w:r>
              <w:rPr/>
              <w:t>Автоматическое извлечение данных о сторонах из процессуальных документов</w:t>
            </w:r>
          </w:p>
        </w:tc>
      </w:tr>
      <w:tr>
        <w:trPr/>
        <w:tc>
          <w:tcPr>
            <w:tcW w:w="1189" w:type="dxa"/>
            <w:tcBorders/>
            <w:vAlign w:val="center"/>
          </w:tcPr>
          <w:p>
            <w:pPr>
              <w:pStyle w:val="Style16"/>
              <w:bidi w:val="0"/>
              <w:spacing w:before="0" w:after="283"/>
              <w:jc w:val="start"/>
              <w:rPr/>
            </w:pPr>
            <w:r>
              <w:rPr/>
              <w:t>2</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Необходимо участие соистца?</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br/>
              <w:t>Ст. 46 АПК РФ. Процессуальное соучастие допускается, если:</w:t>
            </w:r>
          </w:p>
          <w:p>
            <w:pPr>
              <w:pStyle w:val="Style16"/>
              <w:bidi w:val="0"/>
              <w:spacing w:before="0" w:after="283"/>
              <w:jc w:val="start"/>
              <w:rPr/>
            </w:pPr>
            <w:r>
              <w:rPr/>
              <w:t>1) предметом спора являются общие права и (или) обязанности нескольких истцов либо ответчиков;</w:t>
            </w:r>
          </w:p>
          <w:p>
            <w:pPr>
              <w:pStyle w:val="Style16"/>
              <w:bidi w:val="0"/>
              <w:spacing w:before="0" w:after="283"/>
              <w:jc w:val="start"/>
              <w:rPr/>
            </w:pPr>
            <w:r>
              <w:rPr/>
              <w:t>2) права и (или) обязанности нескольких истцов либо ответчиков имеют одно основание;</w:t>
            </w:r>
          </w:p>
          <w:p>
            <w:pPr>
              <w:pStyle w:val="Style16"/>
              <w:bidi w:val="0"/>
              <w:spacing w:before="0" w:after="283"/>
              <w:jc w:val="start"/>
              <w:rPr/>
            </w:pPr>
            <w:r>
              <w:rPr/>
              <w:t>3) предметом спора являются однородные права и обязанности.</w:t>
            </w:r>
          </w:p>
          <w:p>
            <w:pPr>
              <w:pStyle w:val="Style16"/>
              <w:bidi w:val="0"/>
              <w:spacing w:before="0" w:after="283"/>
              <w:jc w:val="start"/>
              <w:rPr/>
            </w:pPr>
            <w:r>
              <w:rPr/>
              <w:t>Каждый из истцов или ответчиков по отношению к другой стороне выступает в процессе самостоятельно. Соучастники могут поручить ведение дела одному или нескольким из них.</w:t>
            </w:r>
          </w:p>
          <w:p>
            <w:pPr>
              <w:pStyle w:val="Style16"/>
              <w:bidi w:val="0"/>
              <w:spacing w:before="0" w:after="283"/>
              <w:jc w:val="start"/>
              <w:rPr/>
            </w:pPr>
            <w:r>
              <w:rPr/>
              <w:t>Судья определяет, имеет ли место быть участие в деле соистца.</w:t>
            </w:r>
          </w:p>
          <w:p>
            <w:pPr>
              <w:pStyle w:val="Style16"/>
              <w:bidi w:val="0"/>
              <w:spacing w:before="0" w:after="283"/>
              <w:jc w:val="start"/>
              <w:rPr/>
            </w:pPr>
            <w:r>
              <w:rPr/>
              <w:t>Если да, то переход к шагу 3. Если нет, то переход к шагу 9</w:t>
            </w:r>
          </w:p>
        </w:tc>
        <w:tc>
          <w:tcPr>
            <w:tcW w:w="2612" w:type="dxa"/>
            <w:tcBorders/>
            <w:vAlign w:val="center"/>
          </w:tcPr>
          <w:p>
            <w:pPr>
              <w:pStyle w:val="Style16"/>
              <w:bidi w:val="0"/>
              <w:spacing w:before="0" w:after="283"/>
              <w:jc w:val="start"/>
              <w:rPr/>
            </w:pPr>
            <w:r>
              <w:rPr/>
              <w:t>Автоматическая проверка наличия соистцов в документах</w:t>
            </w:r>
          </w:p>
        </w:tc>
      </w:tr>
      <w:tr>
        <w:trPr/>
        <w:tc>
          <w:tcPr>
            <w:tcW w:w="1189" w:type="dxa"/>
            <w:tcBorders/>
            <w:vAlign w:val="center"/>
          </w:tcPr>
          <w:p>
            <w:pPr>
              <w:pStyle w:val="Style16"/>
              <w:bidi w:val="0"/>
              <w:spacing w:before="0" w:after="283"/>
              <w:jc w:val="start"/>
              <w:rPr/>
            </w:pPr>
            <w:r>
              <w:rPr/>
              <w:t>3</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участие соистца(-ов)</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на участие в деле соистца или нескольких соистцов.</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4</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Лицо есть в ИС?</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проверяет, занесена ли информация о соистце раньше в ИС суда, чтобы избежать дублирования информации.</w:t>
            </w:r>
          </w:p>
          <w:p>
            <w:pPr>
              <w:pStyle w:val="Style16"/>
              <w:bidi w:val="0"/>
              <w:spacing w:before="0" w:after="283"/>
              <w:jc w:val="start"/>
              <w:rPr/>
            </w:pPr>
            <w:r>
              <w:rPr/>
              <w:t>Если да, то переход к шагу 5. Если нет, то переход к шагу 6</w:t>
            </w:r>
          </w:p>
        </w:tc>
        <w:tc>
          <w:tcPr>
            <w:tcW w:w="2612" w:type="dxa"/>
            <w:tcBorders/>
            <w:vAlign w:val="center"/>
          </w:tcPr>
          <w:p>
            <w:pPr>
              <w:pStyle w:val="Style16"/>
              <w:bidi w:val="0"/>
              <w:spacing w:before="0" w:after="283"/>
              <w:jc w:val="start"/>
              <w:rPr/>
            </w:pPr>
            <w:r>
              <w:rPr/>
              <w:t>Автоматическая проверка наличия лица в информационной системе</w:t>
            </w:r>
          </w:p>
        </w:tc>
      </w:tr>
      <w:tr>
        <w:trPr/>
        <w:tc>
          <w:tcPr>
            <w:tcW w:w="1189" w:type="dxa"/>
            <w:tcBorders/>
            <w:vAlign w:val="center"/>
          </w:tcPr>
          <w:p>
            <w:pPr>
              <w:pStyle w:val="Style16"/>
              <w:bidi w:val="0"/>
              <w:spacing w:before="0" w:after="283"/>
              <w:jc w:val="start"/>
              <w:rPr/>
            </w:pPr>
            <w:r>
              <w:rPr/>
              <w:t>5</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Выбрать лицо</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находит в ИС суда данные о соистце и выбирает их.</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6</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реквизиты соистца(-ов)</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реквизиты соистцов в СА.</w:t>
            </w:r>
          </w:p>
        </w:tc>
        <w:tc>
          <w:tcPr>
            <w:tcW w:w="2612" w:type="dxa"/>
            <w:tcBorders/>
            <w:vAlign w:val="center"/>
          </w:tcPr>
          <w:p>
            <w:pPr>
              <w:pStyle w:val="Style16"/>
              <w:bidi w:val="0"/>
              <w:spacing w:before="0" w:after="283"/>
              <w:jc w:val="start"/>
              <w:rPr/>
            </w:pPr>
            <w:r>
              <w:rPr/>
              <w:t>Автоматическое заполнение реквизитов на основе имеющихся данных</w:t>
            </w:r>
          </w:p>
        </w:tc>
      </w:tr>
      <w:tr>
        <w:trPr/>
        <w:tc>
          <w:tcPr>
            <w:tcW w:w="1189" w:type="dxa"/>
            <w:tcBorders/>
            <w:vAlign w:val="center"/>
          </w:tcPr>
          <w:p>
            <w:pPr>
              <w:pStyle w:val="Style16"/>
              <w:bidi w:val="0"/>
              <w:spacing w:before="0" w:after="283"/>
              <w:jc w:val="start"/>
              <w:rPr/>
            </w:pPr>
            <w:r>
              <w:rPr/>
              <w:t>7</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Карточка соистца</w:t>
            </w:r>
          </w:p>
        </w:tc>
        <w:tc>
          <w:tcPr>
            <w:tcW w:w="2898" w:type="dxa"/>
            <w:tcBorders/>
            <w:vAlign w:val="center"/>
          </w:tcPr>
          <w:p>
            <w:pPr>
              <w:pStyle w:val="Style16"/>
              <w:bidi w:val="0"/>
              <w:spacing w:before="0" w:after="283"/>
              <w:jc w:val="start"/>
              <w:rPr/>
            </w:pPr>
            <w:r>
              <w:rPr/>
              <w:t>Внести нового ЛУВД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вводит данные о соистце в ИС суда.</w:t>
            </w:r>
          </w:p>
        </w:tc>
        <w:tc>
          <w:tcPr>
            <w:tcW w:w="2612" w:type="dxa"/>
            <w:tcBorders/>
            <w:vAlign w:val="center"/>
          </w:tcPr>
          <w:p>
            <w:pPr>
              <w:pStyle w:val="Style16"/>
              <w:bidi w:val="0"/>
              <w:spacing w:before="0" w:after="283"/>
              <w:jc w:val="start"/>
              <w:rPr/>
            </w:pPr>
            <w:r>
              <w:rPr/>
              <w:t>Автоматическое создание записи в информационной системе</w:t>
            </w:r>
          </w:p>
        </w:tc>
      </w:tr>
      <w:tr>
        <w:trPr/>
        <w:tc>
          <w:tcPr>
            <w:tcW w:w="1189" w:type="dxa"/>
            <w:tcBorders/>
            <w:vAlign w:val="center"/>
          </w:tcPr>
          <w:p>
            <w:pPr>
              <w:pStyle w:val="Style16"/>
              <w:bidi w:val="0"/>
              <w:spacing w:before="0" w:after="283"/>
              <w:jc w:val="start"/>
              <w:rPr/>
            </w:pPr>
            <w:r>
              <w:rPr/>
              <w:t>8</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9</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10</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Необходимо участие соответчика?</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оценивает необходимость участия соответчика согласно ст. 46 АПК РФ</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11</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участие соответчика(-ов)</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на участие соответчика или нескольких соответчиков в СА.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12</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Лицо есть в ИС?</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проверяет, занесена ли информация о соответчике раньше в ИС суда, чтобы избежать дублирования информации.</w:t>
            </w:r>
          </w:p>
          <w:p>
            <w:pPr>
              <w:pStyle w:val="Style16"/>
              <w:bidi w:val="0"/>
              <w:spacing w:before="0" w:after="283"/>
              <w:jc w:val="start"/>
              <w:rPr/>
            </w:pPr>
            <w:r>
              <w:rPr/>
              <w:t>Если да, то переход к шагу 5. Если нет, то переход к шагу 6</w:t>
            </w:r>
          </w:p>
          <w:p>
            <w:pPr>
              <w:pStyle w:val="Style16"/>
              <w:bidi w:val="0"/>
              <w:spacing w:before="0" w:after="283"/>
              <w:jc w:val="start"/>
              <w:rPr/>
            </w:pPr>
            <w:r>
              <w:rPr/>
              <w:t>Если да, то переход к шагу 13. Если нет, то переход к шагу 14</w:t>
            </w:r>
          </w:p>
        </w:tc>
        <w:tc>
          <w:tcPr>
            <w:tcW w:w="2612" w:type="dxa"/>
            <w:tcBorders/>
            <w:vAlign w:val="center"/>
          </w:tcPr>
          <w:p>
            <w:pPr>
              <w:pStyle w:val="Style16"/>
              <w:bidi w:val="0"/>
              <w:spacing w:before="0" w:after="283"/>
              <w:jc w:val="start"/>
              <w:rPr/>
            </w:pPr>
            <w:r>
              <w:rPr/>
              <w:t>Автоматическая проверка наличия лица в информационной системе</w:t>
            </w:r>
          </w:p>
        </w:tc>
      </w:tr>
      <w:tr>
        <w:trPr/>
        <w:tc>
          <w:tcPr>
            <w:tcW w:w="1189" w:type="dxa"/>
            <w:tcBorders/>
            <w:vAlign w:val="center"/>
          </w:tcPr>
          <w:p>
            <w:pPr>
              <w:pStyle w:val="Style16"/>
              <w:bidi w:val="0"/>
              <w:spacing w:before="0" w:after="283"/>
              <w:jc w:val="start"/>
              <w:rPr/>
            </w:pPr>
            <w:r>
              <w:rPr/>
              <w:t>13</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Выбрать лицо</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находит в ИС суда данные о соответчике и выбирает их для занесения информации в карточку дела.</w:t>
            </w:r>
          </w:p>
        </w:tc>
        <w:tc>
          <w:tcPr>
            <w:tcW w:w="2612" w:type="dxa"/>
            <w:tcBorders/>
            <w:vAlign w:val="center"/>
          </w:tcPr>
          <w:p>
            <w:pPr>
              <w:pStyle w:val="Style16"/>
              <w:bidi w:val="0"/>
              <w:spacing w:before="0" w:after="283"/>
              <w:jc w:val="start"/>
              <w:rPr/>
            </w:pPr>
            <w:r>
              <w:rPr/>
              <w:t>Автоматический поиск и предложение подходящих лиц</w:t>
            </w:r>
          </w:p>
        </w:tc>
      </w:tr>
      <w:tr>
        <w:trPr/>
        <w:tc>
          <w:tcPr>
            <w:tcW w:w="1189" w:type="dxa"/>
            <w:tcBorders/>
            <w:vAlign w:val="center"/>
          </w:tcPr>
          <w:p>
            <w:pPr>
              <w:pStyle w:val="Style16"/>
              <w:bidi w:val="0"/>
              <w:spacing w:before="0" w:after="283"/>
              <w:jc w:val="start"/>
              <w:rPr/>
            </w:pPr>
            <w:r>
              <w:rPr/>
              <w:t>14</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реквизиты соответчика(-ов)</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реквизиты соистцов в СА.</w:t>
            </w:r>
          </w:p>
        </w:tc>
        <w:tc>
          <w:tcPr>
            <w:tcW w:w="2612" w:type="dxa"/>
            <w:tcBorders/>
            <w:vAlign w:val="center"/>
          </w:tcPr>
          <w:p>
            <w:pPr>
              <w:pStyle w:val="Style16"/>
              <w:bidi w:val="0"/>
              <w:spacing w:before="0" w:after="283"/>
              <w:jc w:val="start"/>
              <w:rPr/>
            </w:pPr>
            <w:r>
              <w:rPr/>
              <w:t>Автоматическое заполнение реквизитов на основе имеющихся данных</w:t>
            </w:r>
          </w:p>
        </w:tc>
      </w:tr>
      <w:tr>
        <w:trPr/>
        <w:tc>
          <w:tcPr>
            <w:tcW w:w="1189" w:type="dxa"/>
            <w:tcBorders/>
            <w:vAlign w:val="center"/>
          </w:tcPr>
          <w:p>
            <w:pPr>
              <w:pStyle w:val="Style16"/>
              <w:bidi w:val="0"/>
              <w:spacing w:before="0" w:after="283"/>
              <w:jc w:val="start"/>
              <w:rPr/>
            </w:pPr>
            <w:r>
              <w:rPr/>
              <w:t>15</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Карточка соответчика</w:t>
            </w:r>
          </w:p>
        </w:tc>
        <w:tc>
          <w:tcPr>
            <w:tcW w:w="2898" w:type="dxa"/>
            <w:tcBorders/>
            <w:vAlign w:val="center"/>
          </w:tcPr>
          <w:p>
            <w:pPr>
              <w:pStyle w:val="Style16"/>
              <w:bidi w:val="0"/>
              <w:spacing w:before="0" w:after="283"/>
              <w:jc w:val="start"/>
              <w:rPr/>
            </w:pPr>
            <w:r>
              <w:rPr/>
              <w:t>Внести нового ЛУВД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вводит данные о соистце в ИС суда.</w:t>
            </w:r>
          </w:p>
        </w:tc>
        <w:tc>
          <w:tcPr>
            <w:tcW w:w="2612" w:type="dxa"/>
            <w:tcBorders/>
            <w:vAlign w:val="center"/>
          </w:tcPr>
          <w:p>
            <w:pPr>
              <w:pStyle w:val="Style16"/>
              <w:bidi w:val="0"/>
              <w:spacing w:before="0" w:after="283"/>
              <w:jc w:val="start"/>
              <w:rPr/>
            </w:pPr>
            <w:r>
              <w:rPr/>
              <w:t>Автоматическое создание записи в информационной системе</w:t>
            </w:r>
          </w:p>
        </w:tc>
      </w:tr>
      <w:tr>
        <w:trPr/>
        <w:tc>
          <w:tcPr>
            <w:tcW w:w="1189" w:type="dxa"/>
            <w:tcBorders/>
            <w:vAlign w:val="center"/>
          </w:tcPr>
          <w:p>
            <w:pPr>
              <w:pStyle w:val="Style16"/>
              <w:bidi w:val="0"/>
              <w:spacing w:before="0" w:after="283"/>
              <w:jc w:val="start"/>
              <w:rPr/>
            </w:pPr>
            <w:r>
              <w:rPr/>
              <w:t>16</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шлюз для объединения потоков процесса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17</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шлюз для объединения потоков процесса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18</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Необходимо участие третьих лиц, заявляющих самостоятельные требования относительно предмета спора?</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Третьи лица, заявляющие самостоятельные требования относительно предмета спора, могут вступить в дело до принятия решения арбитражным судом первой инстанции.</w:t>
            </w:r>
          </w:p>
          <w:p>
            <w:pPr>
              <w:pStyle w:val="Style16"/>
              <w:bidi w:val="0"/>
              <w:spacing w:before="0" w:after="283"/>
              <w:jc w:val="start"/>
              <w:rPr/>
            </w:pPr>
            <w:r>
              <w:rPr/>
              <w:t>Третьи лица, заявляющие самостоятельные требования относительно предмета спора, пользуются правами и несут обязанности истца, за исключением обязанности соблюдения претензионного или иного досудебного порядка урегулирования спора, если это предусмотрено федеральным законом для данной категории споров или договором (ст. 50 АПК РФ)</w:t>
            </w:r>
          </w:p>
          <w:p>
            <w:pPr>
              <w:pStyle w:val="Style16"/>
              <w:bidi w:val="0"/>
              <w:spacing w:before="0" w:after="283"/>
              <w:jc w:val="start"/>
              <w:rPr/>
            </w:pPr>
            <w:r>
              <w:rPr/>
            </w:r>
          </w:p>
          <w:p>
            <w:pPr>
              <w:pStyle w:val="Style16"/>
              <w:bidi w:val="0"/>
              <w:spacing w:before="0" w:after="283"/>
              <w:jc w:val="start"/>
              <w:rPr/>
            </w:pPr>
            <w:r>
              <w:rPr/>
              <w:t>Судья оценивает необходимость участия третьих лиц, заявляющих самостоятельные требования относительно предмета спора?</w:t>
            </w:r>
          </w:p>
          <w:p>
            <w:pPr>
              <w:pStyle w:val="Style16"/>
              <w:bidi w:val="0"/>
              <w:spacing w:before="0" w:after="283"/>
              <w:jc w:val="start"/>
              <w:rPr/>
            </w:pPr>
            <w:r>
              <w:rPr/>
              <w:t>Если да, то переход к шагу 19. Если нет, то переход к шагу 25</w:t>
            </w:r>
          </w:p>
        </w:tc>
        <w:tc>
          <w:tcPr>
            <w:tcW w:w="2612" w:type="dxa"/>
            <w:tcBorders/>
            <w:vAlign w:val="center"/>
          </w:tcPr>
          <w:p>
            <w:pPr>
              <w:pStyle w:val="Style16"/>
              <w:bidi w:val="0"/>
              <w:spacing w:before="0" w:after="283"/>
              <w:jc w:val="start"/>
              <w:rPr/>
            </w:pPr>
            <w:r>
              <w:rPr/>
              <w:t>Автоматическая проверка наличия третьих лиц с самостоятельными требованиями</w:t>
            </w:r>
          </w:p>
        </w:tc>
      </w:tr>
      <w:tr>
        <w:trPr/>
        <w:tc>
          <w:tcPr>
            <w:tcW w:w="1189" w:type="dxa"/>
            <w:tcBorders/>
            <w:vAlign w:val="center"/>
          </w:tcPr>
          <w:p>
            <w:pPr>
              <w:pStyle w:val="Style16"/>
              <w:bidi w:val="0"/>
              <w:spacing w:before="0" w:after="283"/>
              <w:jc w:val="start"/>
              <w:rPr/>
            </w:pPr>
            <w:r>
              <w:rPr/>
              <w:t>19</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участие третьих лиц, заявляющих требования</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на участие третьих лиц, заявляющих требования, в СА.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20</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Лицо есть в ИС?</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проверяет, занесена ли информация о третьих лицах, заявляющих самостоятельные требования, раньше в ИС суда, чтобы избежать дублирования информации.</w:t>
            </w:r>
          </w:p>
          <w:p>
            <w:pPr>
              <w:pStyle w:val="Style16"/>
              <w:bidi w:val="0"/>
              <w:spacing w:before="0" w:after="283"/>
              <w:jc w:val="start"/>
              <w:rPr/>
            </w:pPr>
            <w:r>
              <w:rPr/>
              <w:t>Если да, то переход к шагу 5. Если нет, то переход к шагу 6</w:t>
            </w:r>
          </w:p>
          <w:p>
            <w:pPr>
              <w:pStyle w:val="Style16"/>
              <w:bidi w:val="0"/>
              <w:spacing w:before="0" w:after="283"/>
              <w:jc w:val="start"/>
              <w:rPr/>
            </w:pPr>
            <w:r>
              <w:rPr/>
              <w:t>Если да, то переход к шагу 13. Если нет, то переход к шагу 14</w:t>
            </w:r>
          </w:p>
        </w:tc>
        <w:tc>
          <w:tcPr>
            <w:tcW w:w="2612" w:type="dxa"/>
            <w:tcBorders/>
            <w:vAlign w:val="center"/>
          </w:tcPr>
          <w:p>
            <w:pPr>
              <w:pStyle w:val="Style16"/>
              <w:bidi w:val="0"/>
              <w:spacing w:before="0" w:after="283"/>
              <w:jc w:val="start"/>
              <w:rPr/>
            </w:pPr>
            <w:r>
              <w:rPr/>
              <w:t>Автоматическая проверка наличия лица в информационной системе</w:t>
            </w:r>
          </w:p>
        </w:tc>
      </w:tr>
      <w:tr>
        <w:trPr/>
        <w:tc>
          <w:tcPr>
            <w:tcW w:w="1189" w:type="dxa"/>
            <w:tcBorders/>
            <w:vAlign w:val="center"/>
          </w:tcPr>
          <w:p>
            <w:pPr>
              <w:pStyle w:val="Style16"/>
              <w:bidi w:val="0"/>
              <w:spacing w:before="0" w:after="283"/>
              <w:jc w:val="start"/>
              <w:rPr/>
            </w:pPr>
            <w:r>
              <w:rPr/>
              <w:t>21</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Выбрать лицо</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находит в ИС суда данные о третьем лице и выбирает их для занесения информации в карточку дела.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22</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реквизиты третьих лиц, заявляющих требования</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реквизиты третьих лиц, заявляющих самостоятельные требования, в СА.</w:t>
            </w:r>
          </w:p>
        </w:tc>
        <w:tc>
          <w:tcPr>
            <w:tcW w:w="2612" w:type="dxa"/>
            <w:tcBorders/>
            <w:vAlign w:val="center"/>
          </w:tcPr>
          <w:p>
            <w:pPr>
              <w:pStyle w:val="Style16"/>
              <w:bidi w:val="0"/>
              <w:spacing w:before="0" w:after="283"/>
              <w:jc w:val="start"/>
              <w:rPr/>
            </w:pPr>
            <w:r>
              <w:rPr/>
              <w:t>Автоматическое заполнение реквизитов на основе имеющихся данных</w:t>
            </w:r>
          </w:p>
        </w:tc>
      </w:tr>
      <w:tr>
        <w:trPr/>
        <w:tc>
          <w:tcPr>
            <w:tcW w:w="1189" w:type="dxa"/>
            <w:tcBorders/>
            <w:vAlign w:val="center"/>
          </w:tcPr>
          <w:p>
            <w:pPr>
              <w:pStyle w:val="Style16"/>
              <w:bidi w:val="0"/>
              <w:spacing w:before="0" w:after="283"/>
              <w:jc w:val="start"/>
              <w:rPr/>
            </w:pPr>
            <w:r>
              <w:rPr/>
              <w:t>23</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Карточка третьего лица, заявляющего самостоятельные требования</w:t>
            </w:r>
          </w:p>
        </w:tc>
        <w:tc>
          <w:tcPr>
            <w:tcW w:w="2898" w:type="dxa"/>
            <w:tcBorders/>
            <w:vAlign w:val="center"/>
          </w:tcPr>
          <w:p>
            <w:pPr>
              <w:pStyle w:val="Style16"/>
              <w:bidi w:val="0"/>
              <w:spacing w:before="0" w:after="283"/>
              <w:jc w:val="start"/>
              <w:rPr/>
            </w:pPr>
            <w:r>
              <w:rPr/>
              <w:t>Внести нового ЛУВД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вводит данные третьих лиц, заявляющих самостоятельные требования, в ИС суда.</w:t>
            </w:r>
          </w:p>
        </w:tc>
        <w:tc>
          <w:tcPr>
            <w:tcW w:w="2612" w:type="dxa"/>
            <w:tcBorders/>
            <w:vAlign w:val="center"/>
          </w:tcPr>
          <w:p>
            <w:pPr>
              <w:pStyle w:val="Style16"/>
              <w:bidi w:val="0"/>
              <w:spacing w:before="0" w:after="283"/>
              <w:jc w:val="start"/>
              <w:rPr/>
            </w:pPr>
            <w:r>
              <w:rPr/>
              <w:t>Автоматическое создание записи в информационной системе</w:t>
            </w:r>
          </w:p>
        </w:tc>
      </w:tr>
      <w:tr>
        <w:trPr/>
        <w:tc>
          <w:tcPr>
            <w:tcW w:w="1189" w:type="dxa"/>
            <w:tcBorders/>
            <w:vAlign w:val="center"/>
          </w:tcPr>
          <w:p>
            <w:pPr>
              <w:pStyle w:val="Style16"/>
              <w:bidi w:val="0"/>
              <w:spacing w:before="0" w:after="283"/>
              <w:jc w:val="start"/>
              <w:rPr/>
            </w:pPr>
            <w:r>
              <w:rPr/>
              <w:t>24</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25</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26</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Необходимо участие третьих лиц, не заявляющих самостоятельные требования относительно предмета спора?</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Третьи лица, не заявляющие самостоятельных требований относительно предмета спора, могут вступить в дело на стороне истца или ответчика до принятия судебного акта, которым заканчивается рассмотрение дела в первой инстанции арбитражного суда, если этот судебный акт может повлиять на их права или обязанности по отношению к одной из сторон. Они могут быть привлечены к участию в деле также по ходатайству стороны или по инициативе суда.</w:t>
            </w:r>
          </w:p>
          <w:p>
            <w:pPr>
              <w:pStyle w:val="Style16"/>
              <w:bidi w:val="0"/>
              <w:spacing w:before="0" w:after="283"/>
              <w:jc w:val="start"/>
              <w:rPr/>
            </w:pPr>
            <w:r>
              <w:rPr/>
              <w:t>Третьи лица, не заявляющие самостоятельных требований относительно предмета спора, пользуются процессуальными правами и несут процессуальные обязанности стороны, за исключением права на изменение основания или предмета иска, увеличение или уменьшение размера исковых требований, отказ от иска, признание иска или заключение мирового соглашения, предъявление встречного иска, требование принудительного исполнения судебного акта. При этом такие лица вправе выступать участниками мирового соглашения в случаях, если они приобретают права либо на них возлагается обязанность по условиям данного соглашения. (ст. 51 АПК РФ)</w:t>
            </w:r>
          </w:p>
          <w:p>
            <w:pPr>
              <w:pStyle w:val="Style16"/>
              <w:bidi w:val="0"/>
              <w:spacing w:before="0" w:after="283"/>
              <w:jc w:val="start"/>
              <w:rPr/>
            </w:pPr>
            <w:r>
              <w:rPr/>
              <w:t>Судья проверяет необходимость участия третьих лиц, не заявляющих самостоятельные требования.</w:t>
            </w:r>
          </w:p>
          <w:p>
            <w:pPr>
              <w:pStyle w:val="Style16"/>
              <w:bidi w:val="0"/>
              <w:spacing w:before="0" w:after="283"/>
              <w:jc w:val="start"/>
              <w:rPr/>
            </w:pPr>
            <w:r>
              <w:rPr/>
            </w:r>
          </w:p>
          <w:p>
            <w:pPr>
              <w:pStyle w:val="Style16"/>
              <w:bidi w:val="0"/>
              <w:spacing w:before="0" w:after="283"/>
              <w:jc w:val="start"/>
              <w:rPr/>
            </w:pPr>
            <w:r>
              <w:rPr/>
              <w:t>Если да, то переход к шагу 27. Если нет, то переход к шагу 34</w:t>
            </w:r>
          </w:p>
        </w:tc>
        <w:tc>
          <w:tcPr>
            <w:tcW w:w="2612" w:type="dxa"/>
            <w:tcBorders/>
            <w:vAlign w:val="center"/>
          </w:tcPr>
          <w:p>
            <w:pPr>
              <w:pStyle w:val="Style16"/>
              <w:bidi w:val="0"/>
              <w:spacing w:before="0" w:after="283"/>
              <w:jc w:val="start"/>
              <w:rPr/>
            </w:pPr>
            <w:r>
              <w:rPr/>
              <w:t>Автоматическая проверка наличия третьих лиц без самостоятельных требований</w:t>
            </w:r>
          </w:p>
        </w:tc>
      </w:tr>
      <w:tr>
        <w:trPr/>
        <w:tc>
          <w:tcPr>
            <w:tcW w:w="1189" w:type="dxa"/>
            <w:tcBorders/>
            <w:vAlign w:val="center"/>
          </w:tcPr>
          <w:p>
            <w:pPr>
              <w:pStyle w:val="Style16"/>
              <w:bidi w:val="0"/>
              <w:spacing w:before="0" w:after="283"/>
              <w:jc w:val="start"/>
              <w:rPr/>
            </w:pPr>
            <w:r>
              <w:rPr/>
              <w:t>27</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участие третьих лиц, не заявляющих требования</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проверяет, занесена ли информация о третьих лицах, не заявляющих самостоятельные требования, раньше в ИС суда, чтобы избежать дублирования информации.</w:t>
            </w:r>
          </w:p>
          <w:p>
            <w:pPr>
              <w:pStyle w:val="Style16"/>
              <w:bidi w:val="0"/>
              <w:spacing w:before="0" w:after="283"/>
              <w:jc w:val="start"/>
              <w:rPr/>
            </w:pPr>
            <w:r>
              <w:rPr/>
              <w:t>Если да, то переход к шагу 5. Если нет, то переход к шагу 6</w:t>
            </w:r>
          </w:p>
          <w:p>
            <w:pPr>
              <w:pStyle w:val="Style16"/>
              <w:bidi w:val="0"/>
              <w:spacing w:before="0" w:after="283"/>
              <w:jc w:val="start"/>
              <w:rPr/>
            </w:pPr>
            <w:r>
              <w:rPr/>
              <w:t>Если да, то переход к шагу 13. Если нет, то переход к шагу 14</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28</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чьей стороне участвует третье лицо</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на чьей стороне по делу участвует третье лицо, в СА.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29</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Лицо есть в ИС?</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проверяет, занесена ли информация о третьих лицах, заявляющих самостоятельные требования, раньше в ИС суда, чтобы избежать дублирования информации.</w:t>
            </w:r>
          </w:p>
          <w:p>
            <w:pPr>
              <w:pStyle w:val="Style16"/>
              <w:bidi w:val="0"/>
              <w:spacing w:before="0" w:after="283"/>
              <w:jc w:val="start"/>
              <w:rPr/>
            </w:pPr>
            <w:r>
              <w:rPr/>
              <w:t>Если да, то переход к шагу 30. Если нет, то переход к шагу 31</w:t>
            </w:r>
          </w:p>
          <w:p>
            <w:pPr>
              <w:pStyle w:val="Style16"/>
              <w:bidi w:val="0"/>
              <w:spacing w:before="0" w:after="283"/>
              <w:jc w:val="start"/>
              <w:rPr/>
            </w:pPr>
            <w:r>
              <w:rPr/>
              <w:t>Если да, то переход к шагу 13. Если нет, то переход к шагу 14</w:t>
            </w:r>
          </w:p>
        </w:tc>
        <w:tc>
          <w:tcPr>
            <w:tcW w:w="2612" w:type="dxa"/>
            <w:tcBorders/>
            <w:vAlign w:val="center"/>
          </w:tcPr>
          <w:p>
            <w:pPr>
              <w:pStyle w:val="Style16"/>
              <w:bidi w:val="0"/>
              <w:spacing w:before="0" w:after="283"/>
              <w:jc w:val="start"/>
              <w:rPr/>
            </w:pPr>
            <w:r>
              <w:rPr/>
              <w:t>Автоматическая проверка наличия лица в информационной системе</w:t>
            </w:r>
          </w:p>
        </w:tc>
      </w:tr>
      <w:tr>
        <w:trPr/>
        <w:tc>
          <w:tcPr>
            <w:tcW w:w="1189" w:type="dxa"/>
            <w:tcBorders/>
            <w:vAlign w:val="center"/>
          </w:tcPr>
          <w:p>
            <w:pPr>
              <w:pStyle w:val="Style16"/>
              <w:bidi w:val="0"/>
              <w:spacing w:before="0" w:after="283"/>
              <w:jc w:val="start"/>
              <w:rPr/>
            </w:pPr>
            <w:r>
              <w:rPr/>
              <w:t>30</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Выбрать лицо</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находит в ИС суда данные о третьем лице и выбирает их для занесения информации в карточку дела.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31</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реквизиты третьих лиц, не заявляющих требования</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реквизиты третьих лиц, не заявляющих самостоятельные требования, в СА.</w:t>
            </w:r>
          </w:p>
        </w:tc>
        <w:tc>
          <w:tcPr>
            <w:tcW w:w="2612" w:type="dxa"/>
            <w:tcBorders/>
            <w:vAlign w:val="center"/>
          </w:tcPr>
          <w:p>
            <w:pPr>
              <w:pStyle w:val="Style16"/>
              <w:bidi w:val="0"/>
              <w:spacing w:before="0" w:after="283"/>
              <w:jc w:val="start"/>
              <w:rPr/>
            </w:pPr>
            <w:r>
              <w:rPr/>
              <w:t>Автоматическое заполнение реквизитов на основе имеющихся данных</w:t>
            </w:r>
          </w:p>
        </w:tc>
      </w:tr>
      <w:tr>
        <w:trPr/>
        <w:tc>
          <w:tcPr>
            <w:tcW w:w="1189" w:type="dxa"/>
            <w:tcBorders/>
            <w:vAlign w:val="center"/>
          </w:tcPr>
          <w:p>
            <w:pPr>
              <w:pStyle w:val="Style16"/>
              <w:bidi w:val="0"/>
              <w:spacing w:before="0" w:after="283"/>
              <w:jc w:val="start"/>
              <w:rPr/>
            </w:pPr>
            <w:r>
              <w:rPr/>
              <w:t>32</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Карточка третьего лица, не заявляющего самостоятельные требования</w:t>
            </w:r>
          </w:p>
        </w:tc>
        <w:tc>
          <w:tcPr>
            <w:tcW w:w="2898" w:type="dxa"/>
            <w:tcBorders/>
            <w:vAlign w:val="center"/>
          </w:tcPr>
          <w:p>
            <w:pPr>
              <w:pStyle w:val="Style16"/>
              <w:bidi w:val="0"/>
              <w:spacing w:before="0" w:after="283"/>
              <w:jc w:val="start"/>
              <w:rPr/>
            </w:pPr>
            <w:r>
              <w:rPr/>
              <w:t>Внести нового ЛУВД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вводит данные третьих лиц, не заявляющих самостоятельные требования, в ИС суда.</w:t>
            </w:r>
          </w:p>
        </w:tc>
        <w:tc>
          <w:tcPr>
            <w:tcW w:w="2612" w:type="dxa"/>
            <w:tcBorders/>
            <w:vAlign w:val="center"/>
          </w:tcPr>
          <w:p>
            <w:pPr>
              <w:pStyle w:val="Style16"/>
              <w:bidi w:val="0"/>
              <w:spacing w:before="0" w:after="283"/>
              <w:jc w:val="start"/>
              <w:rPr/>
            </w:pPr>
            <w:r>
              <w:rPr/>
              <w:t>Автоматическое создание записи в информационной системе</w:t>
            </w:r>
          </w:p>
        </w:tc>
      </w:tr>
      <w:tr>
        <w:trPr/>
        <w:tc>
          <w:tcPr>
            <w:tcW w:w="1189" w:type="dxa"/>
            <w:tcBorders/>
            <w:vAlign w:val="center"/>
          </w:tcPr>
          <w:p>
            <w:pPr>
              <w:pStyle w:val="Style16"/>
              <w:bidi w:val="0"/>
              <w:spacing w:before="0" w:after="283"/>
              <w:jc w:val="start"/>
              <w:rPr/>
            </w:pPr>
            <w:r>
              <w:rPr/>
              <w:t>33</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34</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35</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Необходимо участие прокурора?</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Участие в деле прокурора регулируется ст. 52 АПК РФ.</w:t>
            </w:r>
          </w:p>
          <w:p>
            <w:pPr>
              <w:pStyle w:val="Style16"/>
              <w:bidi w:val="0"/>
              <w:spacing w:before="0" w:after="283"/>
              <w:jc w:val="start"/>
              <w:rPr/>
            </w:pPr>
            <w:r>
              <w:rPr/>
              <w:t>Судья проверяет необходимость участия в деле прокурора.</w:t>
            </w:r>
          </w:p>
          <w:p>
            <w:pPr>
              <w:pStyle w:val="Style16"/>
              <w:bidi w:val="0"/>
              <w:spacing w:before="0" w:after="283"/>
              <w:jc w:val="start"/>
              <w:rPr/>
            </w:pPr>
            <w:r>
              <w:rPr/>
              <w:t>Если да — переход к шагу 36</w:t>
            </w:r>
          </w:p>
          <w:p>
            <w:pPr>
              <w:pStyle w:val="Style16"/>
              <w:bidi w:val="0"/>
              <w:spacing w:before="0" w:after="283"/>
              <w:jc w:val="start"/>
              <w:rPr/>
            </w:pPr>
            <w:r>
              <w:rPr/>
              <w:t>Если нет — переход к шагу 37</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36</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участие прокурора</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на участие в деле прокурора в СА.</w:t>
            </w:r>
          </w:p>
        </w:tc>
        <w:tc>
          <w:tcPr>
            <w:tcW w:w="2612" w:type="dxa"/>
            <w:tcBorders/>
            <w:vAlign w:val="center"/>
          </w:tcPr>
          <w:p>
            <w:pPr>
              <w:pStyle w:val="Style16"/>
              <w:bidi w:val="0"/>
              <w:spacing w:before="0" w:after="283"/>
              <w:jc w:val="start"/>
              <w:rPr/>
            </w:pPr>
            <w:r>
              <w:rPr/>
              <w:t>Автоматическое предложение участия прокурора на основе анализа дела</w:t>
            </w:r>
          </w:p>
        </w:tc>
      </w:tr>
      <w:tr>
        <w:trPr/>
        <w:tc>
          <w:tcPr>
            <w:tcW w:w="1189" w:type="dxa"/>
            <w:tcBorders/>
            <w:vAlign w:val="center"/>
          </w:tcPr>
          <w:p>
            <w:pPr>
              <w:pStyle w:val="Style16"/>
              <w:bidi w:val="0"/>
              <w:spacing w:before="0" w:after="283"/>
              <w:jc w:val="start"/>
              <w:rPr/>
            </w:pPr>
            <w:r>
              <w:rPr/>
              <w:t>37</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38</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Необходимо участие Уполномоченного по защите прав предпринимателей?</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Уполномоченный при Президенте Российской Федерации по защите прав предпринимателей, уполномоченные по защите прав предпринимателей в субъектах Российской Федерации, обратившиеся в арбитражный суд, пользуются процессуальными правами и несут процессуальные обязанности истца (ст. 53 АПК РФ)</w:t>
            </w:r>
          </w:p>
          <w:p>
            <w:pPr>
              <w:pStyle w:val="Style16"/>
              <w:bidi w:val="0"/>
              <w:spacing w:before="0" w:after="283"/>
              <w:jc w:val="start"/>
              <w:rPr/>
            </w:pPr>
            <w:r>
              <w:rPr/>
              <w:t>Судья проверяет необходимость участия в деле уполномоченного по защите прав предпринимателей.</w:t>
            </w:r>
          </w:p>
          <w:p>
            <w:pPr>
              <w:pStyle w:val="Style16"/>
              <w:bidi w:val="0"/>
              <w:spacing w:before="0" w:after="283"/>
              <w:jc w:val="start"/>
              <w:rPr/>
            </w:pPr>
            <w:r>
              <w:rPr/>
              <w:t>Если да — переход к шагу 39</w:t>
            </w:r>
          </w:p>
          <w:p>
            <w:pPr>
              <w:pStyle w:val="Style16"/>
              <w:bidi w:val="0"/>
              <w:spacing w:before="0" w:after="283"/>
              <w:jc w:val="start"/>
              <w:rPr/>
            </w:pPr>
            <w:r>
              <w:rPr/>
              <w:t>Если нет — переход к шагу 40</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39</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Указать на участие уполномоченного по защите прав</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указывает на участие</w:t>
            </w:r>
          </w:p>
        </w:tc>
        <w:tc>
          <w:tcPr>
            <w:tcW w:w="2612" w:type="dxa"/>
            <w:tcBorders/>
            <w:vAlign w:val="center"/>
          </w:tcPr>
          <w:p>
            <w:pPr>
              <w:pStyle w:val="Style16"/>
              <w:bidi w:val="0"/>
              <w:spacing w:before="0" w:after="283"/>
              <w:jc w:val="start"/>
              <w:rPr/>
            </w:pPr>
            <w:r>
              <w:rPr/>
              <w:t>Автоматическое предложение участия уполномоченного на основе анализа дела</w:t>
            </w:r>
          </w:p>
        </w:tc>
      </w:tr>
      <w:tr>
        <w:trPr/>
        <w:tc>
          <w:tcPr>
            <w:tcW w:w="1189" w:type="dxa"/>
            <w:tcBorders/>
            <w:vAlign w:val="center"/>
          </w:tcPr>
          <w:p>
            <w:pPr>
              <w:pStyle w:val="Style16"/>
              <w:bidi w:val="0"/>
              <w:spacing w:before="0" w:after="283"/>
              <w:jc w:val="start"/>
              <w:rPr/>
            </w:pPr>
            <w:r>
              <w:rPr/>
              <w:t>40</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41</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Проверить корректность заполнения ИС</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проверяет корректность введенных в ИС реквизитов ЛУВД.</w:t>
            </w:r>
          </w:p>
        </w:tc>
        <w:tc>
          <w:tcPr>
            <w:tcW w:w="2612" w:type="dxa"/>
            <w:tcBorders/>
            <w:vAlign w:val="center"/>
          </w:tcPr>
          <w:p>
            <w:pPr>
              <w:pStyle w:val="Style16"/>
              <w:bidi w:val="0"/>
              <w:spacing w:before="0" w:after="283"/>
              <w:jc w:val="start"/>
              <w:rPr/>
            </w:pPr>
            <w:r>
              <w:rPr/>
              <w:t>Автоматическая проверка корректности данных в информационной системе</w:t>
            </w:r>
          </w:p>
        </w:tc>
      </w:tr>
      <w:tr>
        <w:trPr/>
        <w:tc>
          <w:tcPr>
            <w:tcW w:w="1189" w:type="dxa"/>
            <w:tcBorders/>
            <w:vAlign w:val="center"/>
          </w:tcPr>
          <w:p>
            <w:pPr>
              <w:pStyle w:val="Style16"/>
              <w:bidi w:val="0"/>
              <w:spacing w:before="0" w:after="283"/>
              <w:jc w:val="start"/>
              <w:rPr/>
            </w:pPr>
            <w:r>
              <w:rPr/>
              <w:t>42</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Лица корректно внесены в дело?</w:t>
              <w:br/>
              <w:t>Эксклюзивный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Если да, то переход к шагу 43.</w:t>
            </w:r>
          </w:p>
          <w:p>
            <w:pPr>
              <w:pStyle w:val="Style16"/>
              <w:bidi w:val="0"/>
              <w:spacing w:before="0" w:after="283"/>
              <w:jc w:val="start"/>
              <w:rPr/>
            </w:pPr>
            <w:r>
              <w:rPr/>
              <w:t>Если нет, то переход к шагу 44</w:t>
            </w:r>
          </w:p>
        </w:tc>
        <w:tc>
          <w:tcPr>
            <w:tcW w:w="2612" w:type="dxa"/>
            <w:tcBorders/>
            <w:vAlign w:val="center"/>
          </w:tcPr>
          <w:p>
            <w:pPr>
              <w:pStyle w:val="Style16"/>
              <w:bidi w:val="0"/>
              <w:spacing w:before="0" w:after="283"/>
              <w:jc w:val="start"/>
              <w:rPr/>
            </w:pPr>
            <w:r>
              <w:rPr/>
              <w:t>Автоматическая проверка корректности внесения лиц в дело</w:t>
            </w:r>
          </w:p>
        </w:tc>
      </w:tr>
      <w:tr>
        <w:trPr/>
        <w:tc>
          <w:tcPr>
            <w:tcW w:w="1189" w:type="dxa"/>
            <w:tcBorders/>
            <w:vAlign w:val="center"/>
          </w:tcPr>
          <w:p>
            <w:pPr>
              <w:pStyle w:val="Style16"/>
              <w:bidi w:val="0"/>
              <w:spacing w:before="0" w:after="283"/>
              <w:jc w:val="start"/>
              <w:rPr/>
            </w:pPr>
            <w:r>
              <w:rPr/>
              <w:t>43</w:t>
            </w:r>
          </w:p>
        </w:tc>
        <w:tc>
          <w:tcPr>
            <w:tcW w:w="982" w:type="dxa"/>
            <w:tcBorders/>
            <w:vAlign w:val="center"/>
          </w:tcPr>
          <w:p>
            <w:pPr>
              <w:pStyle w:val="Style16"/>
              <w:bidi w:val="0"/>
              <w:spacing w:before="0" w:after="283"/>
              <w:jc w:val="start"/>
              <w:rPr/>
            </w:pPr>
            <w:r>
              <w:rPr/>
              <w:t>Система</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Указание состава ЛУВД в СА</w:t>
            </w:r>
          </w:p>
        </w:tc>
        <w:tc>
          <w:tcPr>
            <w:tcW w:w="2898" w:type="dxa"/>
            <w:tcBorders/>
            <w:vAlign w:val="center"/>
          </w:tcPr>
          <w:p>
            <w:pPr>
              <w:pStyle w:val="Style16"/>
              <w:bidi w:val="0"/>
              <w:spacing w:before="0" w:after="283"/>
              <w:jc w:val="start"/>
              <w:rPr/>
            </w:pPr>
            <w:r>
              <w:rPr/>
              <w:t>Указать в СА состав ЛУВД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Система заносит в проект СА (в электронном виде) данные об определенном судьей составе ЛУВД с указанием их реквизитов и роли в деле.</w:t>
            </w:r>
          </w:p>
        </w:tc>
        <w:tc>
          <w:tcPr>
            <w:tcW w:w="2612" w:type="dxa"/>
            <w:tcBorders/>
            <w:vAlign w:val="center"/>
          </w:tcPr>
          <w:p>
            <w:pPr>
              <w:pStyle w:val="Style16"/>
              <w:bidi w:val="0"/>
              <w:spacing w:before="0" w:after="283"/>
              <w:jc w:val="start"/>
              <w:rPr/>
            </w:pPr>
            <w:r>
              <w:rPr/>
              <w:t>Автоматическое формирование состава ЛУВД в судебном акте</w:t>
            </w:r>
          </w:p>
        </w:tc>
      </w:tr>
      <w:tr>
        <w:trPr/>
        <w:tc>
          <w:tcPr>
            <w:tcW w:w="1189" w:type="dxa"/>
            <w:tcBorders/>
            <w:vAlign w:val="center"/>
          </w:tcPr>
          <w:p>
            <w:pPr>
              <w:pStyle w:val="Style16"/>
              <w:bidi w:val="0"/>
              <w:spacing w:before="0" w:after="283"/>
              <w:jc w:val="start"/>
              <w:rPr/>
            </w:pPr>
            <w:r>
              <w:rPr/>
              <w:t>44</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Указание состава ЛУВД в СА</w:t>
            </w:r>
          </w:p>
        </w:tc>
        <w:tc>
          <w:tcPr>
            <w:tcW w:w="2898" w:type="dxa"/>
            <w:tcBorders/>
            <w:vAlign w:val="center"/>
          </w:tcPr>
          <w:p>
            <w:pPr>
              <w:pStyle w:val="Style16"/>
              <w:bidi w:val="0"/>
              <w:spacing w:before="0" w:after="283"/>
              <w:jc w:val="start"/>
              <w:rPr/>
            </w:pPr>
            <w:r>
              <w:rPr/>
              <w:t>Указать в СА состав ЛУВД</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заносит в СА данные об определенном судьей составе ЛУВД с указанием их реквизитов и роли в деле.</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45</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Внести изменения</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Судья вносит коррективы в электронный проект СА.</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46</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Эксклюзивный закрывающий шлюз</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Эксклюзивный закрывающий шлюз</w:t>
            </w:r>
          </w:p>
        </w:tc>
        <w:tc>
          <w:tcPr>
            <w:tcW w:w="2612" w:type="dxa"/>
            <w:tcBorders/>
            <w:vAlign w:val="center"/>
          </w:tcPr>
          <w:p>
            <w:pPr>
              <w:pStyle w:val="Style16"/>
              <w:bidi w:val="0"/>
              <w:spacing w:before="0" w:after="283"/>
              <w:jc w:val="start"/>
              <w:rPr/>
            </w:pPr>
            <w:r>
              <w:rPr/>
              <w:t>-</w:t>
            </w:r>
          </w:p>
        </w:tc>
      </w:tr>
      <w:tr>
        <w:trPr/>
        <w:tc>
          <w:tcPr>
            <w:tcW w:w="1189" w:type="dxa"/>
            <w:tcBorders/>
            <w:vAlign w:val="center"/>
          </w:tcPr>
          <w:p>
            <w:pPr>
              <w:pStyle w:val="Style16"/>
              <w:bidi w:val="0"/>
              <w:spacing w:before="0" w:after="283"/>
              <w:jc w:val="start"/>
              <w:rPr/>
            </w:pPr>
            <w:r>
              <w:rPr/>
              <w:t>47</w:t>
            </w:r>
          </w:p>
        </w:tc>
        <w:tc>
          <w:tcPr>
            <w:tcW w:w="982" w:type="dxa"/>
            <w:tcBorders/>
            <w:vAlign w:val="center"/>
          </w:tcPr>
          <w:p>
            <w:pPr>
              <w:pStyle w:val="Style16"/>
              <w:bidi w:val="0"/>
              <w:spacing w:before="0" w:after="283"/>
              <w:jc w:val="start"/>
              <w:rPr/>
            </w:pPr>
            <w:r>
              <w:rPr/>
              <w:t>Судья</w:t>
            </w:r>
          </w:p>
        </w:tc>
        <w:tc>
          <w:tcPr>
            <w:tcW w:w="1406" w:type="dxa"/>
            <w:tcBorders/>
            <w:vAlign w:val="center"/>
          </w:tcPr>
          <w:p>
            <w:pPr>
              <w:pStyle w:val="Style16"/>
              <w:bidi w:val="0"/>
              <w:spacing w:before="0" w:after="283"/>
              <w:jc w:val="start"/>
              <w:rPr/>
            </w:pPr>
            <w:r>
              <w:rPr/>
              <w:t>-</w:t>
            </w:r>
          </w:p>
        </w:tc>
        <w:tc>
          <w:tcPr>
            <w:tcW w:w="2295" w:type="dxa"/>
            <w:tcBorders/>
            <w:vAlign w:val="center"/>
          </w:tcPr>
          <w:p>
            <w:pPr>
              <w:pStyle w:val="Style16"/>
              <w:bidi w:val="0"/>
              <w:spacing w:before="0" w:after="283"/>
              <w:jc w:val="start"/>
              <w:rPr/>
            </w:pPr>
            <w:r>
              <w:rPr/>
              <w:t>-</w:t>
            </w:r>
          </w:p>
        </w:tc>
        <w:tc>
          <w:tcPr>
            <w:tcW w:w="2898" w:type="dxa"/>
            <w:tcBorders/>
            <w:vAlign w:val="center"/>
          </w:tcPr>
          <w:p>
            <w:pPr>
              <w:pStyle w:val="Style16"/>
              <w:bidi w:val="0"/>
              <w:spacing w:before="0" w:after="283"/>
              <w:jc w:val="start"/>
              <w:rPr/>
            </w:pPr>
            <w:r>
              <w:rPr/>
              <w:t>Завершение процесса. Состав ЛУВД определен</w:t>
            </w:r>
          </w:p>
        </w:tc>
        <w:tc>
          <w:tcPr>
            <w:tcW w:w="670" w:type="dxa"/>
            <w:tcBorders/>
            <w:vAlign w:val="center"/>
          </w:tcPr>
          <w:p>
            <w:pPr>
              <w:pStyle w:val="Style16"/>
              <w:bidi w:val="0"/>
              <w:spacing w:before="0" w:after="283"/>
              <w:jc w:val="start"/>
              <w:rPr/>
            </w:pPr>
            <w:r>
              <w:rPr/>
              <w:t>-</w:t>
            </w:r>
          </w:p>
        </w:tc>
        <w:tc>
          <w:tcPr>
            <w:tcW w:w="7957" w:type="dxa"/>
            <w:tcBorders/>
            <w:vAlign w:val="center"/>
          </w:tcPr>
          <w:p>
            <w:pPr>
              <w:pStyle w:val="Style16"/>
              <w:bidi w:val="0"/>
              <w:spacing w:before="0" w:after="283"/>
              <w:jc w:val="start"/>
              <w:rPr/>
            </w:pPr>
            <w:r>
              <w:rPr/>
              <w:t>Завершение процесса. Состав ЛУВД определен</w:t>
            </w:r>
          </w:p>
        </w:tc>
        <w:tc>
          <w:tcPr>
            <w:tcW w:w="2612" w:type="dxa"/>
            <w:tcBorders/>
            <w:vAlign w:val="center"/>
          </w:tcPr>
          <w:p>
            <w:pPr>
              <w:pStyle w:val="Style16"/>
              <w:bidi w:val="0"/>
              <w:spacing w:before="0" w:after="283"/>
              <w:jc w:val="start"/>
              <w:rPr/>
            </w:pPr>
            <w:r>
              <w:rPr/>
              <w:t>-</w:t>
            </w:r>
          </w:p>
        </w:tc>
      </w:tr>
    </w:tbl>
    <w:p>
      <w:pPr>
        <w:pStyle w:val="Heading2"/>
        <w:bidi w:val="0"/>
        <w:jc w:val="start"/>
        <w:rPr/>
      </w:pPr>
      <w:r>
        <w:rPr/>
        <w:t>4. Пользователи и роли</w:t>
      </w:r>
    </w:p>
    <w:tbl>
      <w:tblPr>
        <w:tblW w:w="13616" w:type="dxa"/>
        <w:jc w:val="start"/>
        <w:tblInd w:w="0" w:type="dxa"/>
        <w:tblLayout w:type="fixed"/>
        <w:tblCellMar>
          <w:top w:w="28" w:type="dxa"/>
          <w:start w:w="28" w:type="dxa"/>
          <w:bottom w:w="28" w:type="dxa"/>
          <w:end w:w="28" w:type="dxa"/>
        </w:tblCellMar>
      </w:tblPr>
      <w:tblGrid>
        <w:gridCol w:w="721"/>
        <w:gridCol w:w="12895"/>
      </w:tblGrid>
      <w:tr>
        <w:trPr>
          <w:tblHeader w:val="true"/>
        </w:trPr>
        <w:tc>
          <w:tcPr>
            <w:tcW w:w="721" w:type="dxa"/>
            <w:tcBorders/>
            <w:vAlign w:val="center"/>
          </w:tcPr>
          <w:p>
            <w:pPr>
              <w:pStyle w:val="Style17"/>
              <w:bidi w:val="0"/>
              <w:spacing w:before="0" w:after="283"/>
              <w:jc w:val="start"/>
              <w:rPr/>
            </w:pPr>
            <w:r>
              <w:rPr/>
              <w:t>Роль</w:t>
            </w:r>
          </w:p>
        </w:tc>
        <w:tc>
          <w:tcPr>
            <w:tcW w:w="12895" w:type="dxa"/>
            <w:tcBorders/>
            <w:vAlign w:val="center"/>
          </w:tcPr>
          <w:p>
            <w:pPr>
              <w:pStyle w:val="Style17"/>
              <w:bidi w:val="0"/>
              <w:spacing w:before="0" w:after="283"/>
              <w:jc w:val="start"/>
              <w:rPr/>
            </w:pPr>
            <w:r>
              <w:rPr/>
              <w:t>Функции</w:t>
            </w:r>
          </w:p>
        </w:tc>
      </w:tr>
      <w:tr>
        <w:trPr/>
        <w:tc>
          <w:tcPr>
            <w:tcW w:w="721" w:type="dxa"/>
            <w:tcBorders/>
            <w:vAlign w:val="center"/>
          </w:tcPr>
          <w:p>
            <w:pPr>
              <w:pStyle w:val="Style16"/>
              <w:bidi w:val="0"/>
              <w:spacing w:before="0" w:after="283"/>
              <w:jc w:val="start"/>
              <w:rPr/>
            </w:pPr>
            <w:r>
              <w:rPr/>
              <w:t>Судья</w:t>
            </w:r>
          </w:p>
        </w:tc>
        <w:tc>
          <w:tcPr>
            <w:tcW w:w="12895" w:type="dxa"/>
            <w:tcBorders/>
            <w:vAlign w:val="center"/>
          </w:tcPr>
          <w:p>
            <w:pPr>
              <w:pStyle w:val="Style16"/>
              <w:bidi w:val="0"/>
              <w:spacing w:before="0" w:after="283"/>
              <w:jc w:val="start"/>
              <w:rPr/>
            </w:pPr>
            <w:r>
              <w:rPr/>
              <w:t>Определение состава ЛУВД, проверка корректности данных, внесение изменений в ИС суда, формирование судебного акта</w:t>
            </w:r>
          </w:p>
        </w:tc>
      </w:tr>
    </w:tbl>
    <w:p>
      <w:pPr>
        <w:pStyle w:val="Heading2"/>
        <w:bidi w:val="0"/>
        <w:jc w:val="start"/>
        <w:rPr/>
      </w:pPr>
      <w:r>
        <w:rPr/>
        <w:t>5. Реестр справочников</w:t>
      </w:r>
    </w:p>
    <w:p>
      <w:pPr>
        <w:pStyle w:val="BodyText"/>
        <w:bidi w:val="0"/>
        <w:jc w:val="start"/>
        <w:rPr/>
      </w:pPr>
      <w:r>
        <w:rPr/>
        <w:t>Справочники (классификаторы) ПК САД указаны в Приложении к Заключению об обследовании текущего состояния субъектов автоматизации (3-я очередь).</w:t>
      </w:r>
    </w:p>
    <w:p>
      <w:pPr>
        <w:pStyle w:val="Heading2"/>
        <w:bidi w:val="0"/>
        <w:jc w:val="start"/>
        <w:rPr/>
      </w:pPr>
      <w:r>
        <w:rPr/>
        <w:t>6. Процессуальные документы и их шаблоны</w:t>
      </w:r>
    </w:p>
    <w:p>
      <w:pPr>
        <w:pStyle w:val="BodyText"/>
        <w:bidi w:val="0"/>
        <w:jc w:val="start"/>
        <w:rPr/>
      </w:pPr>
      <w:r>
        <w:rPr/>
        <w:t>Не предусмотрены.</w:t>
      </w:r>
    </w:p>
    <w:p>
      <w:pPr>
        <w:pStyle w:val="Heading2"/>
        <w:bidi w:val="0"/>
        <w:jc w:val="start"/>
        <w:rPr/>
      </w:pPr>
      <w:r>
        <w:rPr/>
        <w:t>7. Межведомственное взаимодействие</w:t>
      </w:r>
    </w:p>
    <w:p>
      <w:pPr>
        <w:pStyle w:val="BodyText"/>
        <w:bidi w:val="0"/>
        <w:jc w:val="start"/>
        <w:rPr/>
      </w:pPr>
      <w:r>
        <w:rPr/>
        <w:t>Не предусмотрено</w:t>
      </w:r>
    </w:p>
    <w:p>
      <w:pPr>
        <w:pStyle w:val="Heading2"/>
        <w:bidi w:val="0"/>
        <w:jc w:val="start"/>
        <w:rPr/>
      </w:pPr>
      <w:r>
        <w:rPr/>
        <w:t>8. Информация о процессуальных сроках</w:t>
      </w:r>
    </w:p>
    <w:p>
      <w:pPr>
        <w:pStyle w:val="BodyText"/>
        <w:bidi w:val="0"/>
        <w:jc w:val="start"/>
        <w:rPr/>
      </w:pPr>
      <w:r>
        <w:rPr/>
        <w:t>Не предусмотрены</w:t>
      </w:r>
    </w:p>
    <w:p>
      <w:pPr>
        <w:pStyle w:val="BodyText"/>
        <w:bidi w:val="0"/>
        <w:jc w:val="start"/>
        <w:rPr/>
      </w:pPr>
      <w:r>
        <w:rPr/>
      </w:r>
    </w:p>
    <w:p>
      <w:pPr>
        <w:pStyle w:val="Heading2"/>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Mono">
    <w:altName w:val="Courier New"/>
    <w:charset w:val="cc" w:characterSet="windows-1251"/>
    <w:family w:val="modern"/>
    <w:pitch w:val="fixed"/>
  </w:font>
  <w:font w:name="Liberation Sans">
    <w:altName w:val="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Heading1">
    <w:name w:val="Heading 1"/>
    <w:basedOn w:val="Style14"/>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Style14"/>
    <w:next w:val="BodyText"/>
    <w:qFormat/>
    <w:pPr>
      <w:spacing w:before="200" w:after="120"/>
      <w:outlineLvl w:val="1"/>
    </w:pPr>
    <w:rPr>
      <w:rFonts w:ascii="Liberation Serif" w:hAnsi="Liberation Serif" w:eastAsia="NSimSun" w:cs="Arial"/>
      <w:b/>
      <w:bCs/>
      <w:sz w:val="36"/>
      <w:szCs w:val="36"/>
    </w:rPr>
  </w:style>
  <w:style w:type="character" w:styleId="Style12">
    <w:name w:val="Символ нумерации"/>
    <w:qFormat/>
    <w:rPr/>
  </w:style>
  <w:style w:type="character" w:styleId="Strong">
    <w:name w:val="Strong"/>
    <w:qFormat/>
    <w:rPr>
      <w:b/>
      <w:bCs/>
    </w:rPr>
  </w:style>
  <w:style w:type="character" w:styleId="Style13">
    <w:name w:val="Исходный текст"/>
    <w:qFormat/>
    <w:rPr>
      <w:rFonts w:ascii="Liberation Mono" w:hAnsi="Liberation Mono" w:eastAsia="NSimSun" w:cs="Liberation Mono"/>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TotalTime>
  <Application>LibreOffice/7.6.4.1$Windows_X86_64 LibreOffice_project/e19e193f88cd6c0525a17fb7a176ed8e6a3e2aa1</Application>
  <AppVersion>15.0000</AppVersion>
  <Pages>1</Pages>
  <Words>1831</Words>
  <Characters>10480</Characters>
  <CharactersWithSpaces>11865</CharactersWithSpaces>
  <Paragraphs>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2025-10-17T14:51:58Z</dcterms:created>
  <dc:creator/>
  <dc:description/>
  <dc:language>ru-RU</dc:language>
  <cp:lastModifiedBy/>
  <dcterms:modified xsi:type="dcterms:W3CDTF">2025-10-17T16:11:34Z</dcterms:modified>
  <cp:revision>12</cp:revision>
  <dc:subject/>
  <dc:title/>
</cp:coreProperties>
</file>