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E19D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ТБП121: "Рассмотреть вопрос об истребовании в банкротстве" TO BE</w:t>
      </w:r>
    </w:p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044177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904417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904417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pStyle w:val="a3"/>
            </w:pPr>
            <w:r>
              <w:rPr>
                <w:color w:val="000000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904417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Обзор судебной практики разрешения споров о несостоятельности (банкротстве) за 2022 г" (утв. Президиумом Верховного Суда РФ 26.04.2023) </w:t>
            </w:r>
          </w:p>
        </w:tc>
      </w:tr>
      <w:tr w:rsidR="00000000">
        <w:trPr>
          <w:divId w:val="904417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Пленума Верховного Суда РФ</w:t>
            </w:r>
            <w:r>
              <w:rPr>
                <w:rFonts w:eastAsia="Times New Roman"/>
                <w:color w:val="000000"/>
              </w:rPr>
              <w:t xml:space="preserve"> от 13.10.2015 N 45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(ред. от 17.12.2024) "О некоторых вопросах, связанных с введением в действие процедур, применяемых в делах о несостоятельности (банкротстве) граждан"</w:t>
            </w:r>
          </w:p>
        </w:tc>
      </w:tr>
    </w:tbl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DE19D2">
      <w:pPr>
        <w:pStyle w:val="code-line"/>
      </w:pPr>
      <w:r>
        <w:rPr>
          <w:color w:val="000000"/>
        </w:rPr>
        <w:t>BPMN-файл: "TBP121_rassmotr_vopros_istrebovanii_bankrot_bpmn_tobe.b</w:t>
      </w:r>
      <w:r>
        <w:rPr>
          <w:color w:val="000000"/>
        </w:rPr>
        <w:t>pmn"</w:t>
      </w:r>
    </w:p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846747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об истребовании доказательств в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принимает решение о необходимости рассмотрения ходатайства об истребован</w:t>
            </w:r>
            <w:r>
              <w:rPr>
                <w:rFonts w:eastAsia="Times New Roman"/>
                <w:color w:val="000000"/>
              </w:rPr>
              <w:t>ии доказательств в деле о банкротстве. Согласно "Обзор судебной практики разрешения споров о несостоятельности (банкротстве) за 2022 г": (утв. Президиумом Верховного Суда РФ 26.04.2023) Пунктом 9 статьи 213.9 Закона о банкротстве установлена обязанность гр</w:t>
            </w:r>
            <w:r>
              <w:rPr>
                <w:rFonts w:eastAsia="Times New Roman"/>
                <w:color w:val="000000"/>
              </w:rPr>
              <w:t>ажданина по требованию финансового управляющего предоставлять ему любые сведения о составе своего имущества, месте нахождения этого имущества, составе своих обязательств, кредиторах и иные имеющие отношение к делу о банкротстве гражданина сведения, при неи</w:t>
            </w:r>
            <w:r>
              <w:rPr>
                <w:rFonts w:eastAsia="Times New Roman"/>
                <w:color w:val="000000"/>
              </w:rPr>
              <w:t>сполнении которой финансовый управляющий вправе обратиться в арбитражный суд, рассматривающий дело о банкротстве, с ходатайством об истребовании доказательств у третьих лиц. При неисполнении гражданином указанной обязанности финансовый управляющий вправе о</w:t>
            </w:r>
            <w:r>
              <w:rPr>
                <w:rFonts w:eastAsia="Times New Roman"/>
                <w:color w:val="000000"/>
              </w:rPr>
              <w:t>братиться в арбитражный суд, рассматривающий дело о банкротстве, с ходатайством об истребовании доказательств у третьих лиц (абзац второй пункта 9 статьи 213.9 Закона о банкротстве). Данное ходатайство предъявляется финансовым управляющим и рассматривается</w:t>
            </w:r>
            <w:r>
              <w:rPr>
                <w:rFonts w:eastAsia="Times New Roman"/>
                <w:color w:val="000000"/>
              </w:rPr>
              <w:t xml:space="preserve"> судом по правилам статьи 66 АПК РФ, по результатам его рассмотрения суд может выдать финансовому управляющему запросы с правом получения ответов на руки. Постановление Пленума Верховного Суда РФ от 13.10.2015 N 45 (ред. от 17.12.2024) "О некоторых вопроса</w:t>
            </w:r>
            <w:r>
              <w:rPr>
                <w:rFonts w:eastAsia="Times New Roman"/>
                <w:color w:val="000000"/>
              </w:rPr>
              <w:t>х, связанных с введением в действие процедур, применяемых в делах о несостоятельности (банкротстве) граждан"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формальных требований к ходатайству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Изучить заявленное 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изуча</w:t>
            </w:r>
            <w:r>
              <w:rPr>
                <w:rFonts w:eastAsia="Times New Roman"/>
                <w:color w:val="000000"/>
              </w:rPr>
              <w:t>ет содержание ходатайства об истребовании доказательств, поданного участником дела о банкротстве в системе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относится ли доказательство к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относится ли истребуемое доказательство к рассматриваемому делу о банкротстве в системе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При поступлении документа должна проводится автоматическая проверка соответствия причин установленным критериям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делу/номенклатурны</w:t>
            </w:r>
            <w:r>
              <w:rPr>
                <w:rFonts w:eastAsia="Times New Roman"/>
                <w:color w:val="000000"/>
              </w:rPr>
              <w:t>м делам/приложениям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пользователю в созданном событии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 поступлении документа в систему определяется по какому делу оно поступило, в карточку документа проставляется ссылка на документ, формируется событи</w:t>
            </w:r>
            <w:r>
              <w:rPr>
                <w:rFonts w:eastAsia="Times New Roman"/>
                <w:color w:val="000000"/>
              </w:rPr>
              <w:t>е в котором перечисляются ответы на вопросы: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1. Проверить причины, препятствующие получению док-ва - требуется проверить почему заявитель не может получить документ иным способом.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2. Проверить указание местонахождения истребуемого док-ва - система владеет </w:t>
            </w:r>
            <w:r>
              <w:rPr>
                <w:rFonts w:eastAsia="Times New Roman"/>
                <w:color w:val="000000"/>
              </w:rPr>
              <w:t>данными по делу и может по правилам определить и написать рекомендацию по причинам препятствующим получению док-в, анализ заявления на указание заявителя места откуда нужно истребовать доказательство.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3. Определить кто подал ходатайство - по номеру дела и </w:t>
            </w:r>
            <w:r>
              <w:rPr>
                <w:rFonts w:eastAsia="Times New Roman"/>
                <w:color w:val="000000"/>
              </w:rPr>
              <w:t>классификация заявителя как АУ по ФИО/ИНН/СНИЛС, при верном составлении передать пользователю данные в событии о "Наличии отказа на внесудебное обращение" оно должно быть вместе с ходатайством или внутри ходатайства, требуется определить как происходит про</w:t>
            </w:r>
            <w:r>
              <w:rPr>
                <w:rFonts w:eastAsia="Times New Roman"/>
                <w:color w:val="000000"/>
              </w:rPr>
              <w:t>цесс "наличия отказа".</w:t>
            </w:r>
            <w:r>
              <w:rPr>
                <w:rFonts w:eastAsia="Times New Roman"/>
                <w:color w:val="000000"/>
              </w:rPr>
              <w:br/>
              <w:t>Автоматическая проверка полноты указания адресных данных.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Созданное событие с заполненной рекомендацией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Отметка пользователя в 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 отмечает пользователя в событии 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Возможность отправить данные об ошибке в техническую поддержку или сохранить данные в системе для изучения и принятия решения и использования в </w:t>
            </w:r>
            <w:r>
              <w:rPr>
                <w:rFonts w:eastAsia="Times New Roman"/>
                <w:color w:val="000000"/>
              </w:rPr>
              <w:t>шаблонах документов.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 ходатайством обращается АУ?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7 Нет: переход к шагу 8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истребовании доказательств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Решается вопрос по заявлению ФУ о раскрытии информации о родственниках</w:t>
            </w:r>
            <w:r>
              <w:rPr>
                <w:rFonts w:eastAsia="Times New Roman"/>
                <w:color w:val="000000"/>
              </w:rPr>
              <w:t xml:space="preserve"> (свойственниках) гражданина и принадлежащем им имуществе?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8 Нет: переход к шагу 9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делу/номенклатурным делам/приложениям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в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отказа на внесудебное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 проверяет наличие отказа в ходатайстве или приложениях.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Установлено наличие отказа?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11 Нет: переход к шагу 14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</w:t>
            </w:r>
            <w:r>
              <w:rPr>
                <w:rFonts w:eastAsia="Times New Roman"/>
                <w:color w:val="000000"/>
              </w:rPr>
              <w:t>ные по делу/номенклатурным делам/приложениям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в событие и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ищет — есть обоснование невозможности самостоятельного получения (в т.ч. приложенные копии запросов/уведомлений/отказов или текстовые ссылки на н</w:t>
            </w:r>
            <w:r>
              <w:rPr>
                <w:rFonts w:eastAsia="Times New Roman"/>
                <w:color w:val="000000"/>
              </w:rPr>
              <w:t>их);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— прямая связь с обстоятельствами, подлежащими доказыванию в данном деле о банкротстве;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делу/номенклатурным делам/приложениям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Возможность отправить данные об ошибке в техническую поддержку или сохранить данные в системе для изучения и принятия решения и использования в шаблонах документов.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</w:t>
            </w:r>
            <w:r>
              <w:rPr>
                <w:rFonts w:eastAsia="Times New Roman"/>
                <w:color w:val="000000"/>
              </w:rPr>
              <w:t>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наличие оснований для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устанавливает наличие оснований для удовлетворения ходатайства об истребовании доказательств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делу/номенклатурным делам/приложениям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в событие и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ищет информацию связанную с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1. Нет обоснования невозможности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2. Просимое не относится к предмету доказывания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3. Противоречия в реквизитах, отсутствие подписи/даты/полномочий представителя.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Возможность отправить данные об ошибке в техническую поддержку или сохранить данные в системе для изучения и принятия решен</w:t>
            </w:r>
            <w:r>
              <w:rPr>
                <w:rFonts w:eastAsia="Times New Roman"/>
                <w:color w:val="000000"/>
              </w:rPr>
              <w:t>ия и использования в шаблонах документов.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наличие оснований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устанавливает наличие оснований для отказа в удовлетворении ходатайства об истребовании доказательств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приходит к выводу об обоснованности заявления об истребовании доказательств?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22 Нет: переход к шагу 20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в системе для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отказа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системе текстом заполняется или выбирается из списка основание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завершает рассмотрение ходатайства с отказом и переходит к основному процессу рассмотрения дела о банкротстве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срок для предоставления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разумный срок для предоставления истребуемого доказательства и вносит дату в номенклатурное дело. Согласно ч.6 ст.66 АПК РФ: Об истребовании доказательств арбитражный суд выносит определение. В определении указываются срок и порядок предст</w:t>
            </w:r>
            <w:r>
              <w:rPr>
                <w:rFonts w:eastAsia="Times New Roman"/>
                <w:color w:val="000000"/>
              </w:rPr>
              <w:t>авления доказательств. Копия определения направляется лицам, участвующим в деле, а также лицу, у которого находится истребуемое судом доказательство.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Запуск процесса отсчета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Запустить отсчет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запускает отсчет времени с</w:t>
            </w:r>
            <w:r>
              <w:rPr>
                <w:rFonts w:eastAsia="Times New Roman"/>
                <w:color w:val="000000"/>
              </w:rPr>
              <w:t xml:space="preserve"> учетом производственного календаря, по истечению времени создается событие с отметкой результата для пользователя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указать лицо, которое будет получать доказательство?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необходимо ли указать конкретное лицо для</w:t>
            </w:r>
            <w:r>
              <w:rPr>
                <w:rFonts w:eastAsia="Times New Roman"/>
                <w:color w:val="000000"/>
              </w:rPr>
              <w:t xml:space="preserve"> получения доказательства.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шлюз. Да: переход к шагу 25 Нет: переход к шагу 26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Указать, кому должно быть выдано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конкретное лицо в системе, которому должно быть выдано истребуемое доказательство 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необходимость направить доказательства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указывает в системе на необходимость направления доказательства непосредственно в суд. Согласно ч.7 ст.66 АПК РФ: Лицо, у которого находится истребуемое судом доказательство, направляет его непосредственно в арбитражный суд. При необходимости по запр</w:t>
            </w:r>
            <w:r>
              <w:rPr>
                <w:rFonts w:eastAsia="Times New Roman"/>
                <w:color w:val="000000"/>
              </w:rPr>
              <w:t>осу суда истребуемое доказательство может быть выдано на руки лицу, имеющему соответствующий запрос, для представления в суд. Если лицо, от которого арбитражным судом истребуется доказательство, не имеет возможности его представить вообще или представить в</w:t>
            </w:r>
            <w:r>
              <w:rPr>
                <w:rFonts w:eastAsia="Times New Roman"/>
                <w:color w:val="000000"/>
              </w:rPr>
              <w:t xml:space="preserve"> установленный судом срок, оно обязано известить об этом суд с указанием причин непредставления в пятидневный срок со дня получения копии определения об истребовании доказательства.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</w:t>
            </w:r>
            <w:r>
              <w:rPr>
                <w:rFonts w:eastAsia="Times New Roman"/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Занесенные данные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удовлетворения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конкретные основания для удовлетворения ходатайства об истребовании доказательств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системе текстом заполняется или выбирается из списка основание.</w:t>
            </w:r>
          </w:p>
        </w:tc>
      </w:tr>
      <w:tr w:rsidR="00000000">
        <w:trPr>
          <w:divId w:val="1384674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завершает рассмотрение ходатайства с удовлетворением ходатайства и переходит к основному процессу рассмотрения дела о ба</w:t>
            </w:r>
            <w:r>
              <w:rPr>
                <w:rFonts w:eastAsia="Times New Roman"/>
                <w:color w:val="000000"/>
              </w:rPr>
              <w:t>нкротстве</w:t>
            </w:r>
          </w:p>
        </w:tc>
      </w:tr>
    </w:tbl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238422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123842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Изучение ходатайств об истребовании доказательств, проверка их обоснованности, принятие процессуальных решений, оп</w:t>
            </w:r>
            <w:r>
              <w:rPr>
                <w:rFonts w:eastAsia="Times New Roman"/>
                <w:color w:val="000000"/>
              </w:rPr>
              <w:t>ределение сроков и порядка предоставления доказательств, установление оснований для удовлетворения или отказа в ходатайствах</w:t>
            </w:r>
          </w:p>
        </w:tc>
      </w:tr>
      <w:tr w:rsidR="00000000">
        <w:trPr>
          <w:divId w:val="1123842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Автоматическая проверка формальных требований к ходатайству, определение принадлежности документа к конкретному делу, формирование системной рекомендации пользователю в событии, создание события с рекомендацией и отметкой судьи, проверка наличия отказа во </w:t>
            </w:r>
            <w:r>
              <w:rPr>
                <w:rFonts w:eastAsia="Times New Roman"/>
                <w:color w:val="000000"/>
              </w:rPr>
              <w:t>внесудебном порядке, формирование рекомендаций по существу (наличие обоснования, связь с предметом доказывания, проверка реквизитов), передача судье результатов анализа для проверки выводов системы, запуск отсчёта срока предоставления доказательства с учёт</w:t>
            </w:r>
            <w:r>
              <w:rPr>
                <w:rFonts w:eastAsia="Times New Roman"/>
                <w:color w:val="000000"/>
              </w:rPr>
              <w:t>ом производственного календаря, создание уведомлений и событий для пользователей о результатах проверок и сроках, поддержка шаблонов судебных актов на основе собранных данных.</w:t>
            </w:r>
          </w:p>
        </w:tc>
      </w:tr>
    </w:tbl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DE19D2">
      <w:pPr>
        <w:pStyle w:val="a3"/>
      </w:pPr>
      <w:r>
        <w:rPr>
          <w:color w:val="000000"/>
        </w:rPr>
        <w:t>Справочники указаны в Приложении к Заключению об обследо</w:t>
      </w:r>
      <w:r>
        <w:rPr>
          <w:color w:val="000000"/>
        </w:rPr>
        <w:t>вании текущего состояния субъектов автоматизации (3-я очередь) - 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DE19D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042537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70425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>
        <w:trPr>
          <w:divId w:val="70425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Документы, подтверждающие препятствия для получения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DE19D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294275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7294275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  <w:tr w:rsidR="00000000">
        <w:trPr>
          <w:divId w:val="7294275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DE19D2">
      <w:pPr>
        <w:pStyle w:val="a3"/>
      </w:pPr>
      <w:r>
        <w:rPr>
          <w:color w:val="000000"/>
        </w:rPr>
        <w:t>Межведомственное взаимодействие содержится в схемах типовых процессов.</w:t>
      </w:r>
    </w:p>
    <w:p w:rsidR="00000000" w:rsidRDefault="00DE19D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960933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596093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19D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DE19D2">
      <w:pPr>
        <w:divId w:val="159609338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2"/>
    <w:rsid w:val="00DE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25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1863</Words>
  <Characters>10623</Characters>
  <Application>Microsoft Office Word</Application>
  <DocSecurity>4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ТБП121: "Рассмотреть вопрос об истребовании в банкротстве"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