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B7B4A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 xml:space="preserve">Описание ТБП122 Рассмотреть дело о взыскании обязательных платежей </w:t>
      </w:r>
      <w:r>
        <w:rPr>
          <w:rFonts w:eastAsia="Times New Roman"/>
          <w:lang w:val="en-US"/>
        </w:rPr>
        <w:t>to be</w:t>
      </w:r>
    </w:p>
    <w:p w:rsidR="00000000" w:rsidRDefault="005B7B4A">
      <w:pPr>
        <w:pStyle w:val="2"/>
        <w:rPr>
          <w:rFonts w:eastAsia="Times New Roman"/>
        </w:rPr>
      </w:pPr>
      <w:r>
        <w:rPr>
          <w:rFonts w:eastAsia="Times New Roman"/>
        </w:rPr>
        <w:t>1. Схема процесса</w:t>
      </w:r>
    </w:p>
    <w:p w:rsidR="00000000" w:rsidRDefault="005B7B4A">
      <w:pPr>
        <w:pStyle w:val="a5"/>
      </w:pPr>
      <w:r>
        <w:t>TBP122_rassmotr_delo_vzyskanii_obyazatelnyh_platezhey_bpmn_tobe.bpmn</w:t>
      </w:r>
    </w:p>
    <w:p w:rsidR="00000000" w:rsidRDefault="005B7B4A">
      <w:pPr>
        <w:pStyle w:val="2"/>
        <w:rPr>
          <w:rFonts w:eastAsia="Times New Roman"/>
        </w:rPr>
      </w:pPr>
      <w:r>
        <w:rPr>
          <w:rFonts w:eastAsia="Times New Roman"/>
        </w:rPr>
        <w:t>2. Описание схемы процесса</w:t>
      </w:r>
    </w:p>
    <w:tbl>
      <w:tblPr>
        <w:tblW w:w="441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31"/>
        <w:gridCol w:w="604"/>
        <w:gridCol w:w="736"/>
        <w:gridCol w:w="692"/>
        <w:gridCol w:w="1642"/>
        <w:gridCol w:w="432"/>
        <w:gridCol w:w="3720"/>
      </w:tblGrid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Style w:val="a6"/>
              </w:rPr>
              <w:t>№ действия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Style w:val="a6"/>
              </w:rPr>
              <w:t>Роль (актор на конкретном шаге, в т.ч. Система)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Style w:val="a6"/>
              </w:rPr>
              <w:t>Входящие материалы (объект/данные, инициирующие шаги)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Style w:val="a6"/>
              </w:rPr>
              <w:t>Исходящие материалы (объект, являющийся результатом действия)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Style w:val="a6"/>
              </w:rPr>
              <w:t>Наименование шага процесса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Style w:val="a6"/>
              </w:rPr>
              <w:t>Срок (срок и шаг с которого считается срок)</w:t>
            </w: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Style w:val="a6"/>
              </w:rPr>
              <w:t>Описание процесса (актор и описание)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0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Возникла необх</w:t>
            </w:r>
            <w:r>
              <w:rPr>
                <w:rFonts w:eastAsia="Times New Roman"/>
              </w:rPr>
              <w:t>одимость о взыскании обязательных платежей. Стартовое событие.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 соответствии со ст. 212 АПК РФ </w:t>
            </w:r>
            <w:r>
              <w:rPr>
                <w:rFonts w:eastAsia="Times New Roman"/>
                <w:color w:val="000000"/>
              </w:rPr>
              <w:t>Производство по делам о взыскании обязательных платежей и санкций возбуждается в арбитражном суде на основании заявлений государственных органов, органов мес</w:t>
            </w:r>
            <w:r>
              <w:rPr>
                <w:rFonts w:eastAsia="Times New Roman"/>
                <w:color w:val="000000"/>
              </w:rPr>
              <w:t>тного самоуправления, иных органов, осуществляющих контрольные функции, с требованием о взыскании с лиц, имеющих задолженность по обязательным платежам, денежных сумм в счет их уплаты и санкций. </w:t>
            </w:r>
            <w:r>
              <w:rPr>
                <w:rFonts w:eastAsia="Times New Roman"/>
              </w:rPr>
              <w:t>Судье необходимо рассмотреть дело о взыскании обязательных пл</w:t>
            </w:r>
            <w:r>
              <w:rPr>
                <w:rFonts w:eastAsia="Times New Roman"/>
              </w:rPr>
              <w:t>атежей и санкций. Судья запустил формирование системой позиции по делу системой, и система определила, что рассматривается дело о взыскании обязательных платежей и санкций и запустила автоматический анализ карточки дела.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1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процесса. Отражает параллельные проверки, проводимые системой при анализе карточки дела. Шаги 2,3,4,5,6,7,8,9 процесса происходят параллельно.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2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законность НА, начисляющего платеж/санкцию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</w:t>
            </w:r>
            <w:r>
              <w:rPr>
                <w:rFonts w:eastAsia="Times New Roman"/>
              </w:rPr>
              <w:t>тема анализирует законность нормативного акта, на основании которого начислен платеж или санкция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3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полномочие органа на предъявление требования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анализирует наличие полномочий у органа на предъявление требования о взыскан</w:t>
            </w:r>
            <w:r>
              <w:rPr>
                <w:rFonts w:eastAsia="Times New Roman"/>
              </w:rPr>
              <w:t xml:space="preserve">ии. </w:t>
            </w:r>
            <w:r>
              <w:rPr>
                <w:rFonts w:eastAsia="Times New Roman"/>
                <w:color w:val="172B4D"/>
              </w:rPr>
              <w:t>Согласно ст. 213 АПК правом на обращение с з</w:t>
            </w:r>
            <w:r>
              <w:rPr>
                <w:rFonts w:eastAsia="Times New Roman"/>
                <w:color w:val="000000"/>
              </w:rPr>
              <w:t>аявлением о взыскании обязательных платежей и санкций имеют государственные органы, органы местного самоуправления, иные органы, наделенные в соответствии с федеральным законом контрольными функциями. Заявлен</w:t>
            </w:r>
            <w:r>
              <w:rPr>
                <w:rFonts w:eastAsia="Times New Roman"/>
                <w:color w:val="000000"/>
              </w:rPr>
              <w:t>ие о взыскании подается в арбитражный суд, если не исполнено требование заявителя об уплате взыскиваемой суммы в добровольном порядке или пропущен указанный в таком требовании срок уплаты.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4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Проверить соблюдение досудебного порядка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анализирует соблюдение досудебного порядка урегулирования спора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5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соблюдение процедуры наложения платежа/санкции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анализирует соблюдение процедуры наложения платежа или санкции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6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д</w:t>
            </w:r>
            <w:r>
              <w:rPr>
                <w:rFonts w:eastAsia="Times New Roman"/>
              </w:rPr>
              <w:t>оказательств, подтверждающих задолженность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анализирует наличие доказательств, подтверждающих факт задолженности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7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корректность расчетов сумм недоимки/пеней/штрафов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</w:t>
            </w:r>
            <w:r>
              <w:rPr>
                <w:rFonts w:eastAsia="Times New Roman"/>
              </w:rPr>
              <w:t>анализирует корректность расчетов сумм недоимки, пеней и штрафов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8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корректность размера взыскиваемой суммы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анализирует корректность размера взыскиваемой суммы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9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отсутствие добровольного исполнени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анализирует отсутствие добровольного исполнения обязательства должником. 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10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 процесса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11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r>
              <w:t>Судья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«Проверить выводы системы»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Система, </w:t>
            </w:r>
            <w:r>
              <w:rPr>
                <w:rFonts w:eastAsia="Times New Roman"/>
              </w:rPr>
              <w:t>после проведенного предварительного анализа дела, предлагает пользователю проверить выводы системы. Переход к типовому процессу «Проверить выводы системы», результатом которой будет провалидированные судьей выводе системы по анализу дела с внесением коррек</w:t>
            </w:r>
            <w:r>
              <w:rPr>
                <w:rFonts w:eastAsia="Times New Roman"/>
              </w:rPr>
              <w:t>тировок, если это необходимо и сохранением в системе результатов валидации.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12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 встречный административный иск? Эксклюзивный шлюз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проверяет, был ли заявлен встречный административный иск?</w:t>
            </w:r>
          </w:p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13</w:t>
            </w:r>
          </w:p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</w:t>
            </w:r>
            <w:r>
              <w:rPr>
                <w:rFonts w:eastAsia="Times New Roman"/>
              </w:rPr>
              <w:t>и «Нет», то переход к шагу 25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13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процесса. Отражает параллельные проверки, проводимые системой при анализе карточки дела. Шаги 14,15,16 процесса происходят параллельно.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14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оспариваемый акт/его отдельные положения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__</w:t>
            </w: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анализирует оспариваемый акт или его отдельные положения на соответствие закону при формировании позиции по административному встречному иску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15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оспариваемые решения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</w:t>
            </w:r>
            <w:r>
              <w:rPr>
                <w:rFonts w:eastAsia="Times New Roman"/>
              </w:rPr>
              <w:t>_</w:t>
            </w: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анализирует оспариваемые решения на соответствие закону при формировании позиции по административному встречному иску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16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Проверить действие (бездействие) органов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</w:t>
            </w:r>
            <w:r>
              <w:rPr>
                <w:rFonts w:eastAsia="Times New Roman"/>
              </w:rPr>
              <w:t>анализирует действия (бездействие) органов на соответствие закону при формировании позиции по административному встречному иску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17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17 процесса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18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Установить их соответствие закону</w:t>
            </w:r>
            <w:r>
              <w:rPr>
                <w:rFonts w:eastAsia="Times New Roman"/>
              </w:rPr>
              <w:t>/иному НПА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 рамках проведения анализа устанавливает соответствие оспариваемых актов, решений и действий закону или иному нормативно-правовому акту.</w:t>
            </w:r>
          </w:p>
        </w:tc>
      </w:tr>
      <w:tr w:rsidR="00000000">
        <w:trPr>
          <w:divId w:val="778060923"/>
          <w:cantSplit/>
          <w:trHeight w:val="457"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19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наличие полномочий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</w:t>
            </w:r>
            <w:r>
              <w:rPr>
                <w:rFonts w:eastAsia="Times New Roman"/>
              </w:rPr>
              <w:t>при анализе проверяет наличие полномочий у органов, принявших оспариваемые акты или совершивших оспариваемые действия на их принятие или совершение в соответствии с требованиями закона.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20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«Проверить выводы систем</w:t>
            </w:r>
            <w:r>
              <w:rPr>
                <w:rFonts w:eastAsia="Times New Roman"/>
              </w:rPr>
              <w:t>ы»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Система, после проведенного предварительного анализа дела, предлагает пользователю проверить выводы системы. Переход к типовому процессу «Проверить выводы системы», результатом которой будет провалидированные судьей выводе системы по анализу дела с в</w:t>
            </w:r>
            <w:r>
              <w:rPr>
                <w:rFonts w:eastAsia="Times New Roman"/>
              </w:rPr>
              <w:t>несением корректировок, если это необходимо и сохранением в системе результатов валидации.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21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r>
              <w:t>Судья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отсутствие нарушения законных интересов заявителя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5B7B4A">
            <w:pPr>
              <w:rPr>
                <w:rFonts w:eastAsia="Times New Roman"/>
              </w:rPr>
            </w:pP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Судья, как пользователь, устанавливает в системе отсутствие нарушения законных интересо</w:t>
            </w:r>
            <w:r>
              <w:rPr>
                <w:rFonts w:eastAsia="Times New Roman"/>
              </w:rPr>
              <w:t>в заявителя при принятии оспариваемых актов или совершении оспариваемых действий, проставляя (или не проставляя) галочку в необходимом чек-боксе.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22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Встречный административный иск подлежит удовлетворению? Эксклюзивный шлюз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5B7B4A">
            <w:pPr>
              <w:rPr>
                <w:rFonts w:eastAsia="Times New Roman"/>
              </w:rPr>
            </w:pP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На </w:t>
            </w:r>
            <w:r>
              <w:rPr>
                <w:rFonts w:eastAsia="Times New Roman"/>
              </w:rPr>
              <w:t>основании проведенного анализа встречного иска и валидации пользователем результата анализа система проверяет встречный административный иск подлежит удовлетворению?</w:t>
            </w:r>
          </w:p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23</w:t>
            </w:r>
          </w:p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24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23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Записат</w:t>
            </w:r>
            <w:r>
              <w:rPr>
                <w:rFonts w:eastAsia="Times New Roman"/>
              </w:rPr>
              <w:t>ь основания для отказа в удовлетворении требования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5B7B4A">
            <w:pPr>
              <w:rPr>
                <w:rFonts w:eastAsia="Times New Roman"/>
              </w:rPr>
            </w:pP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записывает данные об удовлетворении встречного административного иска и основания для отказа в удовлетворении требований по основному требованию заявителя о взыскании обязательных платежей и санкц</w:t>
            </w:r>
            <w:r>
              <w:rPr>
                <w:rFonts w:eastAsia="Times New Roman"/>
              </w:rPr>
              <w:t>ий.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24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основания для отказа в удовлетворении встр. адм. иска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5B7B4A">
            <w:pPr>
              <w:rPr>
                <w:rFonts w:eastAsia="Times New Roman"/>
              </w:rPr>
            </w:pP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Система сохраняет основания для отказа в удовлетворении встречного административного иска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25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5B7B4A">
            <w:pPr>
              <w:rPr>
                <w:rFonts w:eastAsia="Times New Roman"/>
              </w:rPr>
            </w:pP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 xml:space="preserve">Закрывающий </w:t>
            </w:r>
            <w:r>
              <w:rPr>
                <w:rFonts w:eastAsia="Times New Roman"/>
              </w:rPr>
              <w:t>шлюз, объединяющий потоки шага 12 и 24 процесса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26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Установлены основания для удовлетворения требований? Эксклюзивный шлюз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5B7B4A">
            <w:pPr>
              <w:rPr>
                <w:rFonts w:eastAsia="Times New Roman"/>
              </w:rPr>
            </w:pP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анализирует, были ли установлены основания для удовлетворения требования о взыскании обязательных платежей и с</w:t>
            </w:r>
            <w:r>
              <w:rPr>
                <w:rFonts w:eastAsia="Times New Roman"/>
              </w:rPr>
              <w:t>анкций?</w:t>
            </w:r>
          </w:p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35</w:t>
            </w:r>
          </w:p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«Нет, то переход к шагу 27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27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Какие основания? Не эксклюзивный шлюз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5B7B4A">
            <w:pPr>
              <w:rPr>
                <w:rFonts w:eastAsia="Times New Roman"/>
              </w:rPr>
            </w:pP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Не эксклюзивный шлюз, показывает возможность движения по процессу И/ИЛИ. Система предлагать пользователю указать основания для </w:t>
            </w:r>
            <w:r>
              <w:rPr>
                <w:rFonts w:eastAsia="Times New Roman"/>
              </w:rPr>
              <w:t xml:space="preserve">отказа в удовлетворении требования, проставив чек боксы напротив необходимых оснований. 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28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r>
              <w:t>Судья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отсутствие доказанности факта задолженности/размер долга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5B7B4A">
            <w:pPr>
              <w:rPr>
                <w:rFonts w:eastAsia="Times New Roman"/>
              </w:rPr>
            </w:pP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выбирает основание для отказа в удовлетворении - отсутствие доказанности </w:t>
            </w:r>
            <w:r>
              <w:rPr>
                <w:rFonts w:eastAsia="Times New Roman"/>
              </w:rPr>
              <w:t>факта задолженности/размер долга.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29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r>
              <w:t>Судья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нарушение порядка начисления и (или) взыскания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5B7B4A">
            <w:pPr>
              <w:rPr>
                <w:rFonts w:eastAsia="Times New Roman"/>
              </w:rPr>
            </w:pP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выбирает основание для отказа в удовлетворении- нарушение порядка начисления и (или) взыскания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30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r>
              <w:t>Судья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нарушение сроков об</w:t>
            </w:r>
            <w:r>
              <w:rPr>
                <w:rFonts w:eastAsia="Times New Roman"/>
              </w:rPr>
              <w:t>ращения в суд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5B7B4A">
            <w:pPr>
              <w:rPr>
                <w:rFonts w:eastAsia="Times New Roman"/>
              </w:rPr>
            </w:pP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выбирает основание для отказа в удовлетворении- нарушение сроков обращения в суд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31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r>
              <w:t>Судья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факт добровольной уплаты должником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5B7B4A">
            <w:pPr>
              <w:rPr>
                <w:rFonts w:eastAsia="Times New Roman"/>
              </w:rPr>
            </w:pP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выбирает основание для отказа в удовлетворении - факт добровольной уплаты должником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32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r>
              <w:t>Судья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отсутствие полномочий у органа на вынесение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5B7B4A">
            <w:pPr>
              <w:rPr>
                <w:rFonts w:eastAsia="Times New Roman"/>
              </w:rPr>
            </w:pP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выбирает основание для отказа в удовлетворении - отсутствие полномочий у органа на вынесение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33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5B7B4A">
            <w:pPr>
              <w:rPr>
                <w:rFonts w:eastAsia="Times New Roman"/>
              </w:rPr>
            </w:pP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27 процесса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34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основания для отказа в удовлетворении требования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5B7B4A">
            <w:pPr>
              <w:rPr>
                <w:rFonts w:eastAsia="Times New Roman"/>
              </w:rPr>
            </w:pP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основания для отказа в удовлетворении требований заявителя, указанные судьей.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35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Требования удовлетворены полностью? Эксклюзивный шлюз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5B7B4A">
            <w:pPr>
              <w:rPr>
                <w:rFonts w:eastAsia="Times New Roman"/>
              </w:rPr>
            </w:pP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</w:t>
            </w:r>
            <w:r>
              <w:rPr>
                <w:rFonts w:eastAsia="Times New Roman"/>
              </w:rPr>
              <w:t>анализирует, если установлены основания для удовлетворения требования о взыскании обязательных платежей и санкций, были ли они удовлетворены в полном объеме?</w:t>
            </w:r>
          </w:p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38</w:t>
            </w:r>
          </w:p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36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36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r>
              <w:t>Судья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Указать, в какой </w:t>
            </w:r>
            <w:r>
              <w:rPr>
                <w:rFonts w:eastAsia="Times New Roman"/>
              </w:rPr>
              <w:t>части требования удовлетворены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5B7B4A">
            <w:pPr>
              <w:rPr>
                <w:rFonts w:eastAsia="Times New Roman"/>
              </w:rPr>
            </w:pP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в системе на те требования, которые подлежат удовлетворению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37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r>
              <w:t>Судья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Указать, в какой части в удовлетворении отказано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5B7B4A">
            <w:pPr>
              <w:rPr>
                <w:rFonts w:eastAsia="Times New Roman"/>
              </w:rPr>
            </w:pP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в системе, в какой части требований в удовлетворении отказано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38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5B7B4A">
            <w:pPr>
              <w:rPr>
                <w:rFonts w:eastAsia="Times New Roman"/>
              </w:rPr>
            </w:pP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35 процесса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39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общий размер взыскиваемой суммы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5B7B4A">
            <w:pPr>
              <w:rPr>
                <w:rFonts w:eastAsia="Times New Roman"/>
              </w:rPr>
            </w:pP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на основе анализа, данных из карточки дела и провалидированных выводов судьей сохраняет в отчете общий размер взыскивае</w:t>
            </w:r>
            <w:r>
              <w:rPr>
                <w:rFonts w:eastAsia="Times New Roman"/>
              </w:rPr>
              <w:t>мой суммы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40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размер основной задолженности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5B7B4A">
            <w:pPr>
              <w:rPr>
                <w:rFonts w:eastAsia="Times New Roman"/>
              </w:rPr>
            </w:pP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на основе анализа, данных из карточки дела и провалидированных выводов судьей сохраняет в отчете размер основной задолженности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41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размер санкции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5B7B4A">
            <w:pPr>
              <w:rPr>
                <w:rFonts w:eastAsia="Times New Roman"/>
              </w:rPr>
            </w:pP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</w:t>
            </w:r>
            <w:r>
              <w:rPr>
                <w:rFonts w:eastAsia="Times New Roman"/>
              </w:rPr>
              <w:t>на основе анализа, данных из карточки дела и провалидированных выводов судьей сохраняет в отчете размер санкции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42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5B7B4A">
            <w:pPr>
              <w:rPr>
                <w:rFonts w:eastAsia="Times New Roman"/>
              </w:rPr>
            </w:pP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шлюз, объединяющий потоки шага 23, шага 34 и шага 41 процесса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43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данные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5B7B4A">
            <w:pPr>
              <w:rPr>
                <w:rFonts w:eastAsia="Times New Roman"/>
              </w:rPr>
            </w:pP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все данные проведенного анализа для внесения их в отчет по правовой позиции по делу.</w:t>
            </w:r>
          </w:p>
        </w:tc>
      </w:tr>
      <w:tr w:rsidR="00000000">
        <w:trPr>
          <w:divId w:val="778060923"/>
          <w:cantSplit/>
        </w:trPr>
        <w:tc>
          <w:tcPr>
            <w:tcW w:w="2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44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r>
              <w:t>Система</w:t>
            </w:r>
          </w:p>
        </w:tc>
        <w:tc>
          <w:tcPr>
            <w:tcW w:w="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Закрывающее событие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5B7B4A">
            <w:pPr>
              <w:rPr>
                <w:rFonts w:eastAsia="Times New Roman"/>
              </w:rPr>
            </w:pPr>
          </w:p>
        </w:tc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готова предложить пользователю решение по делу о взыскании обязательных </w:t>
            </w:r>
            <w:r>
              <w:rPr>
                <w:rFonts w:eastAsia="Times New Roman"/>
              </w:rPr>
              <w:t>платежей и санкций в виде сформированной позиции по делу после проведения анализа.</w:t>
            </w:r>
          </w:p>
        </w:tc>
      </w:tr>
    </w:tbl>
    <w:p w:rsidR="00000000" w:rsidRDefault="005B7B4A">
      <w:pPr>
        <w:pStyle w:val="2"/>
        <w:rPr>
          <w:rFonts w:eastAsia="Times New Roman"/>
        </w:rPr>
      </w:pPr>
      <w:r>
        <w:rPr>
          <w:rFonts w:eastAsia="Times New Roman"/>
        </w:rPr>
        <w:t>3. Нормативные ограничения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3797"/>
      </w:tblGrid>
      <w:tr w:rsidR="00000000">
        <w:trPr>
          <w:divId w:val="106522768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Style w:val="a6"/>
              </w:rPr>
              <w:t>№</w:t>
            </w:r>
          </w:p>
          <w:p w:rsidR="00000000" w:rsidRDefault="005B7B4A">
            <w:pPr>
              <w:pStyle w:val="a5"/>
            </w:pPr>
            <w:r>
              <w:rPr>
                <w:rStyle w:val="a6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Style w:val="a6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Style w:val="a6"/>
              </w:rPr>
              <w:t>Элемент (сервис/элемент автоматизации)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Style w:val="a6"/>
              </w:rPr>
              <w:t>Описание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Style w:val="a6"/>
              </w:rPr>
              <w:t>Выявленные нормативные ограничения*</w:t>
            </w:r>
          </w:p>
        </w:tc>
      </w:tr>
      <w:tr w:rsidR="00000000">
        <w:trPr>
          <w:divId w:val="10652276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1 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Тип: </w:t>
            </w:r>
          </w:p>
          <w:p w:rsidR="00000000" w:rsidRDefault="005B7B4A">
            <w:pPr>
              <w:pStyle w:val="a5"/>
            </w:pPr>
            <w:r>
              <w:t>Назначение: …</w:t>
            </w:r>
          </w:p>
          <w:p w:rsidR="00000000" w:rsidRDefault="005B7B4A">
            <w:pPr>
              <w:pStyle w:val="a5"/>
            </w:pPr>
            <w:r>
              <w:t>Роль: ...</w:t>
            </w:r>
          </w:p>
          <w:p w:rsidR="00000000" w:rsidRDefault="005B7B4A">
            <w:pPr>
              <w:pStyle w:val="a5"/>
            </w:pPr>
            <w:r>
              <w:t>Входящие данные: .</w:t>
            </w:r>
          </w:p>
          <w:p w:rsidR="00000000" w:rsidRDefault="005B7B4A">
            <w:pPr>
              <w:pStyle w:val="a5"/>
            </w:pPr>
            <w:r>
              <w:t>Исходящие данные: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  <w:rPr>
                <w:rStyle w:val="a7"/>
              </w:rPr>
            </w:pPr>
            <w:r>
              <w:rPr>
                <w:rStyle w:val="a7"/>
              </w:rPr>
              <w:t xml:space="preserve">*В случае выявления нормы закона/подзаконного акта, регламентирующего процесс, ограничивающую возможность внедрения предлагаемых изменений в процессе, необходимо ее указать. </w:t>
            </w:r>
          </w:p>
        </w:tc>
      </w:tr>
    </w:tbl>
    <w:p w:rsidR="00000000" w:rsidRDefault="005B7B4A">
      <w:pPr>
        <w:rPr>
          <w:i/>
          <w:iCs/>
        </w:rPr>
      </w:pPr>
      <w:r>
        <w:rPr>
          <w:rStyle w:val="a7"/>
          <w:i w:val="0"/>
          <w:iCs w:val="0"/>
        </w:rPr>
        <w:t>Примечание: не выявлено нормативных огранич</w:t>
      </w:r>
      <w:r>
        <w:rPr>
          <w:rStyle w:val="a7"/>
          <w:i w:val="0"/>
          <w:iCs w:val="0"/>
        </w:rPr>
        <w:t xml:space="preserve">ений для данного процесса в </w:t>
      </w:r>
      <w:r>
        <w:rPr>
          <w:rStyle w:val="a7"/>
          <w:i w:val="0"/>
          <w:iCs w:val="0"/>
          <w:lang w:val="en-US"/>
        </w:rPr>
        <w:t>to be</w:t>
      </w:r>
      <w:r>
        <w:rPr>
          <w:rStyle w:val="a7"/>
          <w:i w:val="0"/>
          <w:iCs w:val="0"/>
        </w:rPr>
        <w:t>.</w:t>
      </w:r>
    </w:p>
    <w:p w:rsidR="00000000" w:rsidRDefault="005B7B4A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 (акторы) (</w:t>
      </w:r>
      <w:r>
        <w:rPr>
          <w:rStyle w:val="a6"/>
          <w:rFonts w:eastAsia="Times New Roman"/>
          <w:b/>
          <w:bCs/>
          <w:color w:val="FF0000"/>
        </w:rPr>
        <w:t>при наличии изменений</w:t>
      </w:r>
      <w:r>
        <w:rPr>
          <w:rFonts w:eastAsia="Times New Roman"/>
        </w:rPr>
        <w:t>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10062"/>
      </w:tblGrid>
      <w:tr w:rsidR="00000000">
        <w:trPr>
          <w:divId w:val="100690141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Style w:val="a6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10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Style w:val="a6"/>
              </w:rPr>
              <w:t>Выполняемые действия/функция</w:t>
            </w:r>
          </w:p>
        </w:tc>
      </w:tr>
      <w:tr w:rsidR="00000000">
        <w:trPr>
          <w:divId w:val="100690141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r>
              <w:t>Система</w:t>
            </w:r>
          </w:p>
        </w:tc>
        <w:tc>
          <w:tcPr>
            <w:tcW w:w="10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Выполнение автоматических проверок по делу, формировани</w:t>
            </w:r>
            <w:r>
              <w:rPr>
                <w:rFonts w:eastAsia="Times New Roman"/>
              </w:rPr>
              <w:t>е предварительной правовой позиции для судьи</w:t>
            </w:r>
          </w:p>
        </w:tc>
      </w:tr>
      <w:tr w:rsidR="00000000">
        <w:trPr>
          <w:divId w:val="100690141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  <w:sz w:val="20"/>
                <w:szCs w:val="20"/>
              </w:rPr>
            </w:pPr>
            <w:r>
              <w:t>Судья Арбитражного суда</w:t>
            </w:r>
          </w:p>
        </w:tc>
        <w:tc>
          <w:tcPr>
            <w:tcW w:w="10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Валидация выводов системы, выбор необходимых позиций в системе путем проставления чекбоксов.</w:t>
            </w:r>
          </w:p>
        </w:tc>
      </w:tr>
    </w:tbl>
    <w:p w:rsidR="00000000" w:rsidRDefault="005B7B4A">
      <w:pPr>
        <w:pStyle w:val="2"/>
        <w:rPr>
          <w:rFonts w:eastAsia="Times New Roman"/>
        </w:rPr>
      </w:pPr>
      <w:r>
        <w:rPr>
          <w:rFonts w:eastAsia="Times New Roman"/>
        </w:rPr>
        <w:t>5. Процессуальные документы и их шаблоны (</w:t>
      </w:r>
      <w:r>
        <w:rPr>
          <w:rStyle w:val="a6"/>
          <w:rFonts w:eastAsia="Times New Roman"/>
          <w:b/>
          <w:bCs/>
          <w:color w:val="FF0000"/>
        </w:rPr>
        <w:t>при наличии изменений</w:t>
      </w:r>
      <w:r>
        <w:rPr>
          <w:rFonts w:eastAsia="Times New Roman"/>
        </w:rPr>
        <w:t>)</w:t>
      </w:r>
    </w:p>
    <w:p w:rsidR="00000000" w:rsidRDefault="005B7B4A">
      <w:pPr>
        <w:pStyle w:val="a5"/>
      </w:pPr>
      <w:r>
        <w:t>5.1. Документы рассмотрения (включая, но не ограничиваясь документами, получаемыми судом от участников процесса)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86590435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Style w:val="a6"/>
              </w:rPr>
              <w:t>№</w:t>
            </w:r>
          </w:p>
          <w:p w:rsidR="00000000" w:rsidRDefault="005B7B4A">
            <w:pPr>
              <w:pStyle w:val="a5"/>
            </w:pPr>
            <w:r>
              <w:rPr>
                <w:rStyle w:val="a6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Style w:val="a6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Style w:val="a6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Style w:val="a6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Style w:val="a6"/>
              </w:rPr>
              <w:t>Образец / ссылка на облако, где располагается)</w:t>
            </w:r>
          </w:p>
        </w:tc>
      </w:tr>
      <w:tr w:rsidR="00000000">
        <w:trPr>
          <w:divId w:val="18659043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r>
              <w:rPr>
                <w:rFonts w:eastAsia="Times New Roman"/>
              </w:rPr>
              <w:t>__</w:t>
            </w:r>
          </w:p>
        </w:tc>
      </w:tr>
    </w:tbl>
    <w:p w:rsidR="00000000" w:rsidRDefault="005B7B4A">
      <w:pPr>
        <w:pStyle w:val="a5"/>
      </w:pPr>
      <w:r>
        <w:t>5.2. Судебные</w:t>
      </w:r>
      <w:r>
        <w:t xml:space="preserve">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932207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Style w:val="a6"/>
              </w:rPr>
              <w:t>№</w:t>
            </w:r>
          </w:p>
          <w:p w:rsidR="00000000" w:rsidRDefault="005B7B4A">
            <w:pPr>
              <w:pStyle w:val="a5"/>
            </w:pPr>
            <w:r>
              <w:rPr>
                <w:rStyle w:val="a6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Style w:val="a6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Style w:val="a6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Style w:val="a6"/>
              </w:rPr>
              <w:t>Форма (протокольное/</w:t>
            </w:r>
          </w:p>
          <w:p w:rsidR="00000000" w:rsidRDefault="005B7B4A">
            <w:pPr>
              <w:pStyle w:val="a5"/>
            </w:pPr>
            <w:r>
              <w:rPr>
                <w:rStyle w:val="a6"/>
              </w:rPr>
              <w:t>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Style w:val="a6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Style w:val="a6"/>
              </w:rPr>
              <w:t>Образец / ссылка на облако</w:t>
            </w:r>
          </w:p>
        </w:tc>
      </w:tr>
      <w:tr w:rsidR="00000000">
        <w:trPr>
          <w:divId w:val="9322076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r>
              <w:rPr>
                <w:rFonts w:eastAsia="Times New Roman"/>
              </w:rPr>
              <w:t>__</w:t>
            </w:r>
          </w:p>
        </w:tc>
      </w:tr>
    </w:tbl>
    <w:p w:rsidR="00000000" w:rsidRDefault="005B7B4A">
      <w:pPr>
        <w:rPr>
          <w:rFonts w:eastAsia="Times New Roman"/>
        </w:rPr>
      </w:pPr>
      <w:r>
        <w:rPr>
          <w:rFonts w:eastAsia="Times New Roman"/>
        </w:rPr>
        <w:t>Примечание: В данном процессе не происходит формирования СА, а только формирование позиции</w:t>
      </w:r>
    </w:p>
    <w:p w:rsidR="00000000" w:rsidRDefault="005B7B4A">
      <w:pPr>
        <w:pStyle w:val="2"/>
        <w:rPr>
          <w:rFonts w:eastAsia="Times New Roman"/>
        </w:rPr>
      </w:pPr>
      <w:r>
        <w:rPr>
          <w:rFonts w:eastAsia="Times New Roman"/>
        </w:rPr>
        <w:t>6. Межведомственное взаимодействие (</w:t>
      </w:r>
      <w:r>
        <w:rPr>
          <w:rStyle w:val="a6"/>
          <w:rFonts w:eastAsia="Times New Roman"/>
          <w:b/>
          <w:bCs/>
          <w:color w:val="FF0000"/>
        </w:rPr>
        <w:t>при наличии изменений</w:t>
      </w:r>
      <w:r>
        <w:rPr>
          <w:rFonts w:eastAsia="Times New Roman"/>
        </w:rPr>
        <w:t>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5310"/>
        <w:gridCol w:w="5902"/>
      </w:tblGrid>
      <w:tr w:rsidR="00000000">
        <w:trPr>
          <w:divId w:val="52949296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Style w:val="a6"/>
              </w:rPr>
              <w:t>Ведомство</w:t>
            </w:r>
          </w:p>
        </w:tc>
        <w:tc>
          <w:tcPr>
            <w:tcW w:w="5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Style w:val="a6"/>
              </w:rPr>
              <w:t>Вид взаимодействия</w:t>
            </w:r>
          </w:p>
        </w:tc>
        <w:tc>
          <w:tcPr>
            <w:tcW w:w="5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pStyle w:val="a5"/>
            </w:pPr>
            <w:r>
              <w:rPr>
                <w:rStyle w:val="a6"/>
              </w:rPr>
              <w:t>Система</w:t>
            </w:r>
          </w:p>
        </w:tc>
      </w:tr>
      <w:tr w:rsidR="00000000">
        <w:trPr>
          <w:divId w:val="52949296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r>
              <w:rPr>
                <w:rFonts w:eastAsia="Times New Roman"/>
              </w:rPr>
              <w:t>-</w:t>
            </w:r>
          </w:p>
        </w:tc>
        <w:tc>
          <w:tcPr>
            <w:tcW w:w="5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5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B4A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5B7B4A">
      <w:pPr>
        <w:pStyle w:val="2"/>
        <w:rPr>
          <w:rFonts w:eastAsia="Times New Roman"/>
        </w:rPr>
      </w:pPr>
      <w:r>
        <w:rPr>
          <w:rFonts w:eastAsia="Times New Roman"/>
        </w:rPr>
        <w:t>7. Информация о сроках (</w:t>
      </w:r>
      <w:r>
        <w:rPr>
          <w:rStyle w:val="a6"/>
          <w:rFonts w:eastAsia="Times New Roman"/>
          <w:b/>
          <w:bCs/>
          <w:color w:val="FF0000"/>
        </w:rPr>
        <w:t>при наличии изменений</w:t>
      </w:r>
      <w:r>
        <w:rPr>
          <w:rFonts w:eastAsia="Times New Roman"/>
        </w:rPr>
        <w:t>)</w:t>
      </w:r>
    </w:p>
    <w:p w:rsidR="00000000" w:rsidRDefault="005B7B4A">
      <w:pPr>
        <w:pStyle w:val="a5"/>
      </w:pPr>
      <w:r>
        <w:t>В описанном процессе не происходит изменений процессуальных сроков.</w:t>
      </w:r>
    </w:p>
    <w:p w:rsidR="00000000" w:rsidRDefault="005B7B4A">
      <w:pPr>
        <w:pStyle w:val="a5"/>
      </w:pPr>
    </w:p>
    <w:p w:rsidR="00000000" w:rsidRDefault="005B7B4A">
      <w:pPr>
        <w:pStyle w:val="enh-settings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pto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B4A"/>
    <w:rsid w:val="005B7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a"/>
    <w:uiPriority w:val="99"/>
    <w:semiHidden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enh-settings">
    <w:name w:val="enh-settings"/>
    <w:basedOn w:val="a"/>
    <w:uiPriority w:val="99"/>
    <w:semiHidden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9492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0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7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1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7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4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1744</Words>
  <Characters>9945</Characters>
  <Application>Microsoft Office Word</Application>
  <DocSecurity>4</DocSecurity>
  <Lines>82</Lines>
  <Paragraphs>23</Paragraphs>
  <ScaleCrop>false</ScaleCrop>
  <Company/>
  <LinksUpToDate>false</LinksUpToDate>
  <CharactersWithSpaces>11666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 Шаблон описания процесса To be</dc:title>
  <dc:subject/>
  <dc:creator>Гончар Ксения Викторовна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