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0" w:after="49"/>
        <w:rPr>
          <w:rFonts w:eastAsia="Times New Roman"/>
          <w:sz w:val="40"/>
          <w:szCs w:val="40"/>
        </w:rPr>
      </w:pPr>
      <w:bookmarkStart w:id="0" w:name="_GoBack"/>
      <w:bookmarkEnd w:id="0"/>
      <w:r>
        <w:rPr>
          <w:rFonts w:eastAsia="Times New Roman"/>
          <w:sz w:val="40"/>
          <w:szCs w:val="40"/>
        </w:rPr>
        <w:t>ТБП126 рассмотреть вопрос о присуждении при неисполнении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1. Схема процесса</w:t>
      </w:r>
    </w:p>
    <w:p>
      <w:pPr>
        <w:pStyle w:val="NormalWeb"/>
        <w:spacing w:before="49" w:after="49"/>
        <w:rPr/>
      </w:pPr>
      <w:r>
        <w:rPr/>
        <w:t>TBP126_rassmotr_vopros_prisuzhdenii_neispolnenii_bpmn_tobe.bpmn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2. Описание схемы процесса</w:t>
      </w:r>
    </w:p>
    <w:tbl>
      <w:tblPr>
        <w:tblW w:w="4400" w:type="pct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29"/>
        <w:gridCol w:w="989"/>
        <w:gridCol w:w="1035"/>
        <w:gridCol w:w="905"/>
        <w:gridCol w:w="1080"/>
        <w:gridCol w:w="690"/>
        <w:gridCol w:w="3107"/>
      </w:tblGrid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действия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Роль (актор на конкретном шаге, в т.ч. Система)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Входящие материалы (объект/данные, инициирующие шаги)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Исходящие материалы (объект, являющийся результатом действия)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Наименование шага процесса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Срок (срок и шаг с которого считается срок)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Описание процесса (актор и описание)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0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арбитражного управляющего в электронном виде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рассмотреть вопрос о присуждении при неисполнении. Стартовое событие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Данный процесс описывает правовой порядок рассмотрения вопроса в тех случаях, когда совместно с истребованием документации и ценностей арбитражный управляющий просит в соответствии со статьей 308.3 ГК РФ присудить денежную сумму на случай неисполнения судебного акта Арбитражного суда. АУ подает суду ходатайство о присуждении денежной суммы при неисполнении СА. У судьи возникла необходимость рассмотреть вопрос о присуждении денежной суммы должнику при неисполнении требований суда о предоставлении документов и ценностей должника по делам о несостоятельности (банкротстве).  Судья запустил процесс формирования позиции по делу. Система запускает анализ данных для рассмотрения вопроса о присуждении при неисполнении. Старт процесса.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арбитражного управляющего в электронном виде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Провести анализ заявленного ходатайства АУ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ходатайство арбитражного управляющего.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2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«Оценить доказательства по делу»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Происходит переход к типовому процессу "Оценить доказательства по делу", результатом которого будет проведенная системой оценка доказательств в соответствии с требованиями закона.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3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процесса. Проверки на шаге 4 и 5 процесса происходят параллельно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4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реального риска неисполнения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анализирует наличие реального риска неисполнения решения суда должником. 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5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разумность размера заявленной суммы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Система анализирует разумность размера заявленной арбитражным управляющим суммы. </w:t>
              <w:br/>
              <w:t>Денежная сумма при неисполнении должна быть соразмерна потенциальному ущербу от неисполнения судебного акта.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6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3 процесса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7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Отчет о проверках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Сформировать отчет о проверках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формирует отчет о проведенных проверках, который содержит информацию о результатах проведенных проверок и предварительные выводы и предложения системы по вопросу рассмотрения ходатайства о присуждении при неисполнении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8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«Проверить выводы системы»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Система, после проведенного предварительного анализа дела, предлагает пользователю проверить выводы системы. Переход к типовому процессу «Проверить выводы системы», результатом которой будет провалидированные судьей выводе системы по анализу дела с внесением корректировок, если это необходимо и сохранением в системе результатов валидации.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9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Судья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отсутствие извлечения выгоды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Судья проверяет отсутствие извлечения выгоды арбитражного управляющего из незаконного/недобросовестного поведения должника и ставит галочку в чекбоксе, если отсутствует извлечение выгоды (или не проставляет, если считает, что есть основания полагать, что АУ извлечет выгоду)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10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 приходит к выводу об обоснованности заявленного ходатайства? Эксклюзивный шлюз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анализирует провалидированные судьей данные анализа по делу и смотрит есть ли основания считать ходатайство обоснованным?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Если «Да», то переход к шагу 14 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Если «Нет», то переход к шагу 11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11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для отказа в удовлетворении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записывает данные о том, что установлены основания для отказа в удовлетворении ходатайства АУ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12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Сохранить данные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сохраняет данные.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13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Найдены основания для отказа в удовлетворении ходатайства. Завершающее событие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Найдены основания для отказа в удовлетворении ходатайства. Данные сохранены в системе для последующего формирования выводов в шаблоне СА. Завершение процесса.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14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основания удовлетворения ходатайства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записывает данные о том, что установлены основания для удовлетворения ходатайства АУ. Далее система предлагает пользователю указать необходимые значения для последующего корректного формирования шаблона СА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15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процесса. Система предлагает параллельно заполнить пользователю три окна с данными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16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Судья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</w:rPr>
              <w:t>Определить размер суммы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 в системе размер денежной суммы, которую необходимо внести должнику при неисполнении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17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Судья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порядок и срок исполнения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указывает в системе порядок и срок исполнения требований суда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18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Судья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Указать, на кого возлагается обязанность уплаты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Судья выбирает из существующих ЛУВД в системе, либо вбивает самостоятельно лицо, на которое будет возложена уплата суммы при неисполнении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19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Закрывающий шлюз для шага 15 процесса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20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Сохранить данные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Система сохраняет все данные и выводы по рассмотрения вопроса о присуждении при неисполнении</w:t>
            </w:r>
          </w:p>
        </w:tc>
      </w:tr>
      <w:tr>
        <w:trPr>
          <w:cantSplit w:val="true"/>
        </w:trPr>
        <w:tc>
          <w:tcPr>
            <w:tcW w:w="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21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9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Найдены основания для удовлетворения ходатайства. Завершающее событие</w:t>
            </w:r>
          </w:p>
        </w:tc>
        <w:tc>
          <w:tcPr>
            <w:tcW w:w="6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</w:r>
          </w:p>
        </w:tc>
        <w:tc>
          <w:tcPr>
            <w:tcW w:w="31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Найдены основания для удовлетворения ходатайства. Данные сохранены в системе для последующего формирования выводов в шаблоне СА. Завершение процесса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3. Нормативные ограничения</w:t>
      </w:r>
    </w:p>
    <w:tbl>
      <w:tblPr>
        <w:tblW w:w="5717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479"/>
        <w:gridCol w:w="481"/>
        <w:gridCol w:w="479"/>
        <w:gridCol w:w="3798"/>
      </w:tblGrid>
      <w:tr>
        <w:trPr>
          <w:tblHeader w:val="true"/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>
                <w:rStyle w:val="Strong"/>
              </w:rPr>
              <w:t>№</w:t>
            </w:r>
          </w:p>
          <w:p>
            <w:pPr>
              <w:pStyle w:val="NormalWeb"/>
              <w:spacing w:before="49" w:after="0"/>
              <w:rPr/>
            </w:pPr>
            <w:r>
              <w:rPr>
                <w:rStyle w:val="Strong"/>
              </w:rPr>
              <w:t>п/п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действия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Элемент (сервис/элемент автоматизации)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Описание</w:t>
            </w:r>
          </w:p>
        </w:tc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Выявленные нормативные ограничения*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1 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Тип: </w:t>
            </w:r>
          </w:p>
          <w:p>
            <w:pPr>
              <w:pStyle w:val="NormalWeb"/>
              <w:spacing w:before="49" w:after="49"/>
              <w:rPr/>
            </w:pPr>
            <w:r>
              <w:rPr/>
              <w:t>Назначение: …</w:t>
            </w:r>
          </w:p>
          <w:p>
            <w:pPr>
              <w:pStyle w:val="NormalWeb"/>
              <w:spacing w:before="49" w:after="49"/>
              <w:rPr/>
            </w:pPr>
            <w:r>
              <w:rPr/>
              <w:t>Роль: ...</w:t>
            </w:r>
          </w:p>
          <w:p>
            <w:pPr>
              <w:pStyle w:val="NormalWeb"/>
              <w:spacing w:before="49" w:after="49"/>
              <w:rPr/>
            </w:pPr>
            <w:r>
              <w:rPr/>
              <w:t>Входящие данные: .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Исходящие данные:</w:t>
            </w:r>
          </w:p>
        </w:tc>
        <w:tc>
          <w:tcPr>
            <w:tcW w:w="37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rStyle w:val="Emphasis"/>
              </w:rPr>
            </w:pPr>
            <w:r>
              <w:rPr>
                <w:rStyle w:val="Emphasis"/>
              </w:rPr>
              <w:t xml:space="preserve">*В случае выявления нормы закона/подзаконного акта, регламентирующего процесс, ограничивающую возможность внедрения предлагаемых изменений в процессе, необходимо ее указать. </w:t>
            </w:r>
          </w:p>
        </w:tc>
      </w:tr>
    </w:tbl>
    <w:p>
      <w:pPr>
        <w:pStyle w:val="Normal"/>
        <w:rPr>
          <w:i/>
          <w:i/>
          <w:iCs/>
        </w:rPr>
      </w:pPr>
      <w:r>
        <w:rPr>
          <w:rStyle w:val="Emphasis"/>
          <w:i w:val="false"/>
          <w:iCs w:val="false"/>
        </w:rPr>
        <w:t xml:space="preserve">Примечание: не выявлено нормативных ограничений для данного процесса в </w:t>
      </w:r>
      <w:r>
        <w:rPr>
          <w:rStyle w:val="Emphasis"/>
          <w:i w:val="false"/>
          <w:iCs w:val="false"/>
          <w:lang w:val="en-US"/>
        </w:rPr>
        <w:t>to be</w:t>
      </w:r>
      <w:r>
        <w:rPr>
          <w:rStyle w:val="Emphasis"/>
          <w:i w:val="false"/>
          <w:iCs w:val="false"/>
        </w:rPr>
        <w:t>.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4. Пользователи и роли (акторы)</w:t>
      </w:r>
    </w:p>
    <w:tbl>
      <w:tblPr>
        <w:tblW w:w="10542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79"/>
        <w:gridCol w:w="10062"/>
      </w:tblGrid>
      <w:tr>
        <w:trPr>
          <w:tblHeader w:val="true"/>
          <w:cantSplit w:val="true"/>
        </w:trPr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10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Выполняемые действия/функция</w:t>
            </w:r>
          </w:p>
        </w:tc>
      </w:tr>
      <w:tr>
        <w:trPr>
          <w:tblHeader w:val="true"/>
          <w:cantSplit w:val="true"/>
        </w:trPr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  <w:t>Система</w:t>
            </w:r>
          </w:p>
        </w:tc>
        <w:tc>
          <w:tcPr>
            <w:tcW w:w="10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Выполнение автоматических проверок, формирование отчета по проверкам, сохранение выводов в системе для формирования шаблона СА</w:t>
            </w:r>
          </w:p>
        </w:tc>
      </w:tr>
      <w:tr>
        <w:trPr>
          <w:tblHeader w:val="true"/>
          <w:cantSplit w:val="true"/>
        </w:trPr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/>
              <w:t>Судья вышестоящей инстанции</w:t>
            </w:r>
          </w:p>
        </w:tc>
        <w:tc>
          <w:tcPr>
            <w:tcW w:w="100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Валидация выводов системы, внесение необходимых данных в систему.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5. Процессуальные документы и их шаблоны</w:t>
      </w:r>
    </w:p>
    <w:p>
      <w:pPr>
        <w:pStyle w:val="NormalWeb"/>
        <w:spacing w:before="49" w:after="49"/>
        <w:rPr/>
      </w:pPr>
      <w:r>
        <w:rPr/>
        <w:t>5.1. Документы рассмотрения (включая, но не ограничиваясь документами, получаемыми судом от участников процесса)</w:t>
      </w:r>
    </w:p>
    <w:tbl>
      <w:tblPr>
        <w:tblW w:w="192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480"/>
        <w:gridCol w:w="480"/>
        <w:gridCol w:w="479"/>
      </w:tblGrid>
      <w:tr>
        <w:trPr>
          <w:tblHeader w:val="true"/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>
                <w:rStyle w:val="Strong"/>
              </w:rPr>
              <w:t>№</w:t>
            </w:r>
          </w:p>
          <w:p>
            <w:pPr>
              <w:pStyle w:val="NormalWeb"/>
              <w:spacing w:before="49" w:after="0"/>
              <w:rPr/>
            </w:pPr>
            <w:r>
              <w:rPr>
                <w:rStyle w:val="Strong"/>
              </w:rPr>
              <w:t>п/п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Форма (печатная/устная)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Входящий документ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 xml:space="preserve">Ходатайство арбитражного управляющего о присуждении денежной сумму на случай неисполнения судебного акта 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Электронная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Внутренний документ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Отчет о проверках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Электронная</w:t>
            </w:r>
          </w:p>
        </w:tc>
      </w:tr>
    </w:tbl>
    <w:p>
      <w:pPr>
        <w:pStyle w:val="NormalWeb"/>
        <w:spacing w:before="49" w:after="49"/>
        <w:rPr/>
      </w:pPr>
      <w:r>
        <w:rPr/>
        <w:t>5.2. Судебные акты</w:t>
      </w:r>
    </w:p>
    <w:tbl>
      <w:tblPr>
        <w:tblW w:w="288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479"/>
        <w:gridCol w:w="481"/>
        <w:gridCol w:w="480"/>
        <w:gridCol w:w="479"/>
        <w:gridCol w:w="480"/>
      </w:tblGrid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>
                <w:rStyle w:val="Strong"/>
              </w:rPr>
              <w:t>№</w:t>
            </w:r>
          </w:p>
          <w:p>
            <w:pPr>
              <w:pStyle w:val="NormalWeb"/>
              <w:spacing w:before="49" w:after="0"/>
              <w:rPr/>
            </w:pPr>
            <w:r>
              <w:rPr>
                <w:rStyle w:val="Strong"/>
              </w:rPr>
              <w:t>п/п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>
                <w:rStyle w:val="Strong"/>
              </w:rPr>
              <w:t>Форма (протокольное/</w:t>
            </w:r>
          </w:p>
          <w:p>
            <w:pPr>
              <w:pStyle w:val="NormalWeb"/>
              <w:spacing w:before="49" w:after="0"/>
              <w:rPr/>
            </w:pPr>
            <w:r>
              <w:rPr>
                <w:rStyle w:val="Strong"/>
              </w:rPr>
              <w:t>отдельный СА)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Обжалуется (да/нет)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Образец / ссылка на облако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Times New Roman"/>
              </w:rPr>
              <w:t>__</w:t>
            </w:r>
          </w:p>
        </w:tc>
      </w:tr>
    </w:tbl>
    <w:p>
      <w:pPr>
        <w:pStyle w:val="Normal"/>
        <w:rPr>
          <w:rFonts w:eastAsia="Times New Roman"/>
        </w:rPr>
      </w:pPr>
      <w:r>
        <w:rPr>
          <w:rFonts w:eastAsia="Times New Roman"/>
        </w:rPr>
        <w:t>Примечание: В данном процессе не происходит формирования СА, а происходит только формирование позиции по делу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6. Межведомственное взаимодействие</w:t>
      </w:r>
    </w:p>
    <w:tbl>
      <w:tblPr>
        <w:tblW w:w="11692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5309"/>
        <w:gridCol w:w="5903"/>
      </w:tblGrid>
      <w:tr>
        <w:trPr>
          <w:tblHeader w:val="true"/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Ведомство</w:t>
            </w:r>
          </w:p>
        </w:tc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Вид взаимодействия</w:t>
            </w:r>
          </w:p>
        </w:tc>
        <w:tc>
          <w:tcPr>
            <w:tcW w:w="5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rStyle w:val="Strong"/>
              </w:rPr>
              <w:t>Система</w:t>
            </w:r>
          </w:p>
        </w:tc>
      </w:tr>
      <w:tr>
        <w:trPr>
          <w:tblHeader w:val="true"/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53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  <w:tc>
          <w:tcPr>
            <w:tcW w:w="5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</w:rPr>
              <w:t>__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7. Информация о сроках</w:t>
      </w:r>
    </w:p>
    <w:p>
      <w:pPr>
        <w:pStyle w:val="NormalWeb"/>
        <w:spacing w:before="49" w:after="49"/>
        <w:rPr/>
      </w:pPr>
      <w:r>
        <w:rPr/>
        <w:t>В данном процессе нет изменения процессуальных сроков</w:t>
      </w:r>
    </w:p>
    <w:p>
      <w:pPr>
        <w:pStyle w:val="NormalWeb"/>
        <w:spacing w:before="49" w:after="49"/>
        <w:rPr/>
      </w:pPr>
      <w:r>
        <w:rPr/>
      </w:r>
    </w:p>
    <w:p>
      <w:pPr>
        <w:pStyle w:val="Enh-settings"/>
        <w:spacing w:before="49" w:after="49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eastAsia="" w:eastAsiaTheme="minorEastAsia" w:ascii="Times New Roman" w:hAnsi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1" w:customStyle="1">
    <w:name w:val="Заголовок 1 Знак"/>
    <w:basedOn w:val="DefaultParagraphFont"/>
    <w:uiPriority w:val="9"/>
    <w:qFormat/>
    <w:locked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locked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uiPriority w:val="99"/>
    <w:semiHidden/>
    <w:qFormat/>
    <w:pPr>
      <w:spacing w:beforeAutospacing="1" w:afterAutospacing="1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/>
  </w:style>
  <w:style w:type="paragraph" w:styleId="Enh-settings" w:customStyle="1">
    <w:name w:val="enh-settings"/>
    <w:basedOn w:val="Normal"/>
    <w:uiPriority w:val="99"/>
    <w:semiHidden/>
    <w:qFormat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LibreOffice/7.6.4.1$Windows_X86_64 LibreOffice_project/e19e193f88cd6c0525a17fb7a176ed8e6a3e2aa1</Application>
  <AppVersion>15.0000</AppVersion>
  <DocSecurity>4</DocSecurity>
  <Pages>13</Pages>
  <Words>943</Words>
  <Characters>6275</Characters>
  <CharactersWithSpaces>7004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2025-11-19T10:08:00Z</dcterms:created>
  <dc:creator>Гончар Ксения Викторовна</dc:creator>
  <dc:description/>
  <dc:language>ru-RU</dc:language>
  <cp:lastModifiedBy/>
  <dcterms:modified xsi:type="dcterms:W3CDTF">2025-11-25T09:21:17Z</dcterms:modified>
  <cp:revision>3</cp:revision>
  <dc:subject/>
  <dc:title>3. Шаблон описания процесса To be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