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93E8B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ТБП20 "Проверить компетенцию"</w:t>
      </w:r>
    </w:p>
    <w:p w:rsidR="00000000" w:rsidRDefault="00A93E8B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919278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919278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Арбитражный процессуальный кодекс Российской Федерации от 24.07.2002 N 95-ФЗ (ред. от 01.04.2025)</w:t>
            </w:r>
          </w:p>
        </w:tc>
      </w:tr>
    </w:tbl>
    <w:p w:rsidR="00000000" w:rsidRDefault="00A93E8B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93E8B">
      <w:pPr>
        <w:pStyle w:val="a3"/>
      </w:pPr>
      <w:r>
        <w:t>BPMN-файл: TBP20_proverit_kompetentsiyu_bpmn_asis.bpmn</w:t>
      </w:r>
    </w:p>
    <w:p w:rsidR="00000000" w:rsidRDefault="00A93E8B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2915168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 xml:space="preserve">Срок (срок и шаг с </w:t>
            </w:r>
            <w:r>
              <w:rPr>
                <w:b/>
                <w:bCs/>
              </w:rPr>
              <w:t>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Возникла необходимость проверить компетенцию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У судьи возникла необходимость проверить компетенцию.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Определить состав участников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br/>
              <w:t>Судья определяет, участвует ли в споре физическое лицо.</w:t>
            </w:r>
          </w:p>
          <w:p w:rsidR="00000000" w:rsidRDefault="00A93E8B">
            <w:pPr>
              <w:pStyle w:val="a3"/>
            </w:pPr>
            <w:r>
              <w:t xml:space="preserve">Если в споре участвует хотя бы одно физическое лицо, то дело входит в компетенцию СОЮ, за </w:t>
            </w:r>
            <w:r>
              <w:t>исключением случаев банкротства.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Шаблон карточки участников дела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Определить вид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 определяет вид спора с целью определения подсудности в случае, когда в деле участвует ф</w:t>
            </w:r>
            <w:r>
              <w:t>изическое лицо. При участии ФЛ арбитражному суду будет подсудно только дело о банкротстве.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Справочник видов споров с подсказками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Заявление (Первичный документ)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Определить компетенцию спора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 оценивает компетенцию спора, что подразумевает оценку соответствия спора положениям законодательства о компетенции арбитражных судов (ст. 27-ст.32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Дело поступило из суда общей юрисдикции?</w:t>
            </w:r>
          </w:p>
          <w:p w:rsidR="00000000" w:rsidRDefault="00A93E8B">
            <w:pPr>
              <w:pStyle w:val="a3"/>
            </w:pPr>
            <w:r>
              <w:t>Экскл</w:t>
            </w:r>
            <w:r>
              <w:t>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На основе пройденных проверок судья выявляет, входит ли дело в компетенцию СОЮ.</w:t>
            </w:r>
          </w:p>
          <w:p w:rsidR="00000000" w:rsidRDefault="00A93E8B">
            <w:pPr>
              <w:pStyle w:val="a3"/>
            </w:pPr>
            <w:r>
              <w:t>Если «Да» - переход к шагу 5, если «нет» - к шагу 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 Дело входит в компетенцию СОЮ.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Требования полностью относятся к компетенции арбитражного суда?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 xml:space="preserve">Итоговый вопрос, относятся ли требования в полном объеме к компетенции </w:t>
            </w:r>
            <w:r>
              <w:t>арбитражного суда.</w:t>
            </w:r>
          </w:p>
          <w:p w:rsidR="00000000" w:rsidRDefault="00A93E8B">
            <w:pPr>
              <w:pStyle w:val="a3"/>
            </w:pPr>
            <w:r>
              <w:t>Если «Да» - переход к шагу 7, если «Нет» - переход к шагу 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 Дело полностью относится к компетенции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</w:t>
            </w:r>
            <w:r>
              <w:t>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Установлено, что заявление содержит несколько требований, одни из которых подсудны судам общей юрисдикции?</w:t>
            </w:r>
          </w:p>
          <w:p w:rsidR="00000000" w:rsidRDefault="00A93E8B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В ряде случаев суд может прийти к выводу о разделении требований в силу того факта, что какие-то требования все же относятся к компетенции арбитражных судов.</w:t>
            </w:r>
          </w:p>
          <w:p w:rsidR="00000000" w:rsidRDefault="00A93E8B">
            <w:pPr>
              <w:pStyle w:val="a3"/>
            </w:pPr>
            <w:r>
              <w:t>Если «Да» - переход к шагу 9, если «Нет» - к шагу 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Памятка по смешанным требованиям и разгранич</w:t>
            </w:r>
            <w:r>
              <w:t>ению подсудности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Разделение требований возможно?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 выясняет, возможно ли разделение требований конкретно применительно к данному делу.</w:t>
            </w:r>
          </w:p>
          <w:p w:rsidR="00000000" w:rsidRDefault="00A93E8B">
            <w:pPr>
              <w:pStyle w:val="a3"/>
            </w:pPr>
          </w:p>
          <w:p w:rsidR="00000000" w:rsidRDefault="00A93E8B">
            <w:pPr>
              <w:pStyle w:val="a3"/>
            </w:pPr>
            <w:r>
              <w:t>Если «Да» - переход к шагу 12, если «Нет» - к шаг</w:t>
            </w:r>
            <w:r>
              <w:t>у 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Подсказки по допустимости разъединения требований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Установлено основание для возвращения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 устанавливает основания для возвращения заявления ввиду невозможности разделения требований для арбитражног</w:t>
            </w:r>
            <w:r>
              <w:t>о суда и СОЮ.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Генерация проекта определения по шаблону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 Установлено основание для возвращения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Установлена необходимость разъединения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 устанавливает возможность и необходимость разделения требований для передачи их части в СОЮ.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Генерация проекта процессуального документа по шаблону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 Установлена</w:t>
            </w:r>
            <w:r>
              <w:t xml:space="preserve"> необходимость разъединения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Дело было принято к производству? 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Для определения дальнейший процессуальных действий в отношении дела, по которому был выявлен факт несоответствия компетенции арбитражных судов, требуется выяснить факт принятия дела к производству.</w:t>
            </w:r>
          </w:p>
          <w:p w:rsidR="00000000" w:rsidRDefault="00A93E8B">
            <w:pPr>
              <w:pStyle w:val="a3"/>
            </w:pPr>
          </w:p>
          <w:p w:rsidR="00000000" w:rsidRDefault="00A93E8B">
            <w:pPr>
              <w:pStyle w:val="a3"/>
            </w:pPr>
            <w:r>
              <w:t>Если «Да» - переход к шагу 15, если «Нет» - к шагу 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П</w:t>
            </w:r>
            <w:r>
              <w:t>одсказки по проверке стадии дела (принято/не принято)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Определить суд, обладающий компетенцией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 определяет суд, обладающий компетенцией в отношении данного дела в силу закона для последующей передачи дел</w:t>
            </w:r>
            <w:r>
              <w:t>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Справочник судов и правил подсудности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Установлено основание для передачи в другой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 устанавливает основание для передачи в другой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Генерация проекта определения по шаблону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 Установлены основания для передачи в другой суд.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 Установлено основание для возвращения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 уста</w:t>
            </w:r>
            <w:r>
              <w:t>навливает основания для возвращения заявления ввиду непринятия на данный момент его к производству.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Генерация проекта определения по шаблону</w:t>
            </w:r>
          </w:p>
        </w:tc>
      </w:tr>
      <w:tr w:rsidR="00000000">
        <w:trPr>
          <w:divId w:val="122915168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Завершение процесса. Установлено основание для возвращения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</w:tbl>
    <w:p w:rsidR="00000000" w:rsidRDefault="00A93E8B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6650172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665017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Судья/Помощник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Анализ состава участников, определение вида спор</w:t>
            </w:r>
            <w:r>
              <w:t>а, проверка компетенции, принятие решений о передаче в другой/возврате</w:t>
            </w:r>
          </w:p>
        </w:tc>
      </w:tr>
    </w:tbl>
    <w:p w:rsidR="00000000" w:rsidRDefault="00A93E8B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93E8B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(классификторы) ПК САД</w:t>
      </w:r>
    </w:p>
    <w:p w:rsidR="00000000" w:rsidRDefault="00A93E8B">
      <w:pPr>
        <w:pStyle w:val="2"/>
        <w:rPr>
          <w:rFonts w:eastAsia="Times New Roman"/>
        </w:rPr>
      </w:pPr>
      <w:r>
        <w:rPr>
          <w:rFonts w:eastAsia="Times New Roman"/>
        </w:rPr>
        <w:t>6. Пр</w:t>
      </w:r>
      <w:r>
        <w:rPr>
          <w:rFonts w:eastAsia="Times New Roman"/>
        </w:rPr>
        <w:t>оцессуальные документы</w:t>
      </w:r>
    </w:p>
    <w:p w:rsidR="00000000" w:rsidRDefault="00A93E8B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3901612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73901612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Первичный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A93E8B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0448126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9044812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</w:tbl>
    <w:p w:rsidR="00000000" w:rsidRDefault="00A93E8B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29125330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2912533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Не предусмотрено в рамках данного типового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</w:tbl>
    <w:p w:rsidR="00000000" w:rsidRDefault="00A93E8B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7495620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47495620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93E8B">
            <w:pPr>
              <w:pStyle w:val="a3"/>
            </w:pPr>
            <w:r>
              <w:t>—</w:t>
            </w:r>
          </w:p>
        </w:tc>
      </w:tr>
    </w:tbl>
    <w:p w:rsidR="00000000" w:rsidRDefault="00A93E8B">
      <w:pPr>
        <w:pStyle w:val="a3"/>
      </w:pPr>
    </w:p>
    <w:p w:rsidR="00000000" w:rsidRDefault="00A93E8B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E8B"/>
    <w:rsid w:val="00A9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253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6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7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1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961</Words>
  <Characters>5484</Characters>
  <Application>Microsoft Office Word</Application>
  <DocSecurity>4</DocSecurity>
  <Lines>45</Lines>
  <Paragraphs>12</Paragraphs>
  <ScaleCrop>false</ScaleCrop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ТБП20 "Проверить компетенцию"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