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5571FB">
      <w:pPr>
        <w:pStyle w:val="1"/>
        <w:rPr>
          <w:rFonts w:eastAsia="Times New Roman"/>
        </w:rPr>
      </w:pPr>
      <w:bookmarkStart w:id="0" w:name="_GoBack"/>
      <w:bookmarkEnd w:id="0"/>
      <w:r>
        <w:rPr>
          <w:rFonts w:eastAsia="Times New Roman"/>
        </w:rPr>
        <w:t>Описание ТБП28 "Заменить судью" TO BE</w:t>
      </w:r>
    </w:p>
    <w:p w:rsidR="00000000" w:rsidRDefault="005571FB">
      <w:pPr>
        <w:pStyle w:val="2"/>
        <w:rPr>
          <w:rFonts w:eastAsia="Times New Roman"/>
        </w:rPr>
      </w:pPr>
      <w:r>
        <w:rPr>
          <w:rFonts w:eastAsia="Times New Roman"/>
        </w:rPr>
        <w:t>1. Нормативно-правовые акты</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tblGrid>
      <w:tr w:rsidR="00000000">
        <w:trPr>
          <w:divId w:val="1691103237"/>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Название НПА с реквизитами</w:t>
            </w:r>
          </w:p>
        </w:tc>
      </w:tr>
      <w:tr w:rsidR="00000000">
        <w:trPr>
          <w:divId w:val="16911032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"Арбитражный процессуальный кодекс Российской Федерации" от 24.07.2002 N 95-ФЗ (ред. от 01.04.2025)</w:t>
            </w:r>
          </w:p>
        </w:tc>
      </w:tr>
      <w:tr w:rsidR="00000000">
        <w:trPr>
          <w:divId w:val="16911032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Федеральный конституционный закон от 31.12.1996 N 1-ФКЗ (ред. от 23.07.2025) "О судебной системе Российской Федерации"</w:t>
            </w:r>
          </w:p>
        </w:tc>
      </w:tr>
      <w:tr w:rsidR="00000000">
        <w:trPr>
          <w:divId w:val="16911032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Федеральный конституционный закон от 28.04.1995 N 1-ФКЗ (ред. от 31.07.2023) "Об арбитражных судах в Российской Федерации"</w:t>
            </w:r>
          </w:p>
        </w:tc>
      </w:tr>
      <w:tr w:rsidR="00000000">
        <w:trPr>
          <w:divId w:val="16911032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 xml:space="preserve">Закон РФ от </w:t>
            </w:r>
            <w:r>
              <w:t>26.06.1992 N 3132-1 (ред. от 10.07.2023, с изм. от 27.11.2023) "О статусе судей в Российской Федерации"</w:t>
            </w:r>
          </w:p>
        </w:tc>
      </w:tr>
      <w:tr w:rsidR="00000000">
        <w:trPr>
          <w:divId w:val="16911032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Постановление Пленума ВАС РФ от 25.12.2013 N 100 (ред. от 11.07.2014) "Об утверждении Инструкции по делопроизводству в арбитражных судах Российской Фед</w:t>
            </w:r>
            <w:r>
              <w:t>ерации (первой, апелляционной и кассационной инстанций)"</w:t>
            </w:r>
          </w:p>
        </w:tc>
      </w:tr>
      <w:tr w:rsidR="00000000">
        <w:trPr>
          <w:divId w:val="16911032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Постановление Пленума Верховного Суда РФ от 23.12.2021 N 46 "О применении Арбитражного процессуального кодекса Российской Федерации при рассмотрении дел в суде первой инстанции"</w:t>
            </w:r>
          </w:p>
        </w:tc>
      </w:tr>
      <w:tr w:rsidR="00000000">
        <w:trPr>
          <w:divId w:val="16911032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Постановление Плену</w:t>
            </w:r>
            <w:r>
              <w:t>ма ВАС РФ от 17.02.2011 N 12 (ред. от 27.06.2017) "О некоторых вопросах применения Арбитражного процессуального кодекса Российской Федерации в редакции Федерального закона от 27.07.2010 N 228-ФЗ "О внесении изменений в Арбитражный процессуальный кодекс Рос</w:t>
            </w:r>
            <w:r>
              <w:t>сийской Федерации"</w:t>
            </w:r>
          </w:p>
        </w:tc>
      </w:tr>
    </w:tbl>
    <w:p w:rsidR="00000000" w:rsidRDefault="005571FB">
      <w:pPr>
        <w:pStyle w:val="2"/>
        <w:rPr>
          <w:rFonts w:eastAsia="Times New Roman"/>
        </w:rPr>
      </w:pPr>
      <w:r>
        <w:rPr>
          <w:rFonts w:eastAsia="Times New Roman"/>
        </w:rPr>
        <w:t>2. Схема процесса</w:t>
      </w:r>
    </w:p>
    <w:p w:rsidR="00000000" w:rsidRDefault="005571FB">
      <w:pPr>
        <w:pStyle w:val="a3"/>
      </w:pPr>
      <w:r>
        <w:t>BPMN-файл: "TBP28_zamenit_sudyu_bpmn_tobe.bpmn"</w:t>
      </w:r>
    </w:p>
    <w:p w:rsidR="00000000" w:rsidRDefault="005571FB">
      <w:pPr>
        <w:pStyle w:val="2"/>
        <w:rPr>
          <w:rFonts w:eastAsia="Times New Roman"/>
        </w:rPr>
      </w:pPr>
      <w:r>
        <w:rPr>
          <w:rFonts w:eastAsia="Times New Roman"/>
        </w:rPr>
        <w:t>3. Описание схемы бизнес-процессов</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trPr>
          <w:divId w:val="232012853"/>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Роль (актор на конкретном шаге, в т.ч. 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Входящие материалы (объект/данные, инициирующие шаги)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Исходящие материалы (объект, являющийся результатом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Наименование шага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Срок (срок и шаг с которого считается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Описание процесса (актор и описание)</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Необходимость замены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Возникла необход</w:t>
            </w:r>
            <w:r>
              <w:t>имость заменить судью. Стартовое событие.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 принимает решение о необходимости замены судьи. Необходимость замены судьи возникает в случае удовлетворении заявления об отводе судьи или в случае самоотвода судьи, а так же</w:t>
            </w:r>
            <w:r>
              <w:t xml:space="preserve"> в случаях болезни судьи или прекращения его полномочий, при нарушении порядка формирования состава суда, если судья временно отстранен, а также по иным причинам, делающим невозможным участие судьи в рассмотрении дела.</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w:t>
            </w:r>
            <w:r>
              <w:t>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Решение о необходимости замены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Необходимо вынести определение о замене судьи?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 анализирует обстоятельства и решает есть ли необходимость вынесения определения о замене судьи.</w:t>
            </w:r>
          </w:p>
          <w:p w:rsidR="00000000" w:rsidRDefault="005571FB">
            <w:pPr>
              <w:pStyle w:val="a3"/>
            </w:pPr>
            <w:r>
              <w:t>Если «Да», то переход к шагу 2 процесса.</w:t>
            </w:r>
          </w:p>
          <w:p w:rsidR="00000000" w:rsidRDefault="005571FB">
            <w:pPr>
              <w:pStyle w:val="a3"/>
            </w:pPr>
            <w:r>
              <w:t>Если «Нет», то переход к шагу 12 процесса.</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Параллельный шлюз для координации процессов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Параллельный шлюз для координации процессов. Если будет принято решение о вынесен</w:t>
            </w:r>
            <w:r>
              <w:t>ии определения, то процесс с шага 2 будет происходить параллельно с процессом шага 12.</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color w:val="161616"/>
              </w:rPr>
              <w:t>В каждом деле на основании правил формируется справочник с судьями которым может быть передано 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Выбранная судья для замены и</w:t>
            </w:r>
            <w:r>
              <w:t xml:space="preserve"> для использования в шаблоне судебного акта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color w:val="161616"/>
              </w:rPr>
              <w:t>Выбрать судью для замены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Пользователь в системе получает список судий на основе состава суда, отпусков, календаря и нагрузки рекомендованных для замены</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Решение о вынесен</w:t>
            </w:r>
            <w:r>
              <w:t>ии определения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ТБП80.Принять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Основания для замены судьи или одного из судей, предусмотренные частями 3 и 4 статьи 18 АПК РФ, согласно статье 185 АПК РФ должны быть указаны в определении, выносимом по вопросу о замене судьи или состава суда, рассматривающего дело. Такое определение вын</w:t>
            </w:r>
            <w:r>
              <w:t>осится председателем судебного состава (председателем судебной коллегии, председателем арбитражного суда) без проведения судебного заседания. Переход к типовому процессу «Принять СА». Результатом данного типового процесса станет принятие определения о заме</w:t>
            </w:r>
            <w:r>
              <w:t>не судьи председателем суда/уполномоченным лицом.</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Копии определение о замене судьи для сторон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ТБП46.Направить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Вынесенное Определение о замене судьи направляется ЛУВД. Проис</w:t>
            </w:r>
            <w:r>
              <w:t>ходит переход к типовому процессу «Направить документ» Результатом данного типового процесса станет направление определения о замене судьи лицам, участвующим в деле.</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Судебные акты отправлены.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Завершение ветки процесса, связанного с вы</w:t>
            </w:r>
            <w:r>
              <w:t>несением определения о замене судьи.</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Лица, участвующие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Получен судебный акт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Лица, участвующие в деле получают определение о замене судьи.</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Судебный документ по делу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Дата и время ознакомления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color w:val="161616"/>
              </w:rPr>
              <w:t>Уведомить пользователя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Личный кабинет ЛУВД для извещения и сбора данных о дате и времени ознакомления</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Лица, участвующие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Получено уведомление о новом судебном акте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открытие документа и ознакомление с ним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color w:val="161616"/>
              </w:rPr>
              <w:t>Ознакомиться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Пользователь ознакамливает</w:t>
            </w:r>
            <w:r>
              <w:t xml:space="preserve"> с судебным актом</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Дата и время получения и ознакомления с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Сохранение данных в номенклатурном деле в строке ЛУВД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color w:val="161616"/>
              </w:rPr>
              <w:t>Передать дату и время получения и ознакомления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Система фиксирует данные поступившие из личного кабинета ЛУВД</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Лица, участвующие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Завершающее событие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Завершение процесса для ЛУВД.</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Закрывающий шлюз для шага 1 процесса.</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Состав суда, отпуск, производственный календарь, нагрузка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Ре</w:t>
            </w:r>
            <w:r>
              <w:rPr>
                <w:rFonts w:eastAsia="Times New Roman"/>
              </w:rPr>
              <w:t>комендация по судьям для замены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color w:val="161616"/>
              </w:rPr>
              <w:t>Сформировать рекомендацию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Система формирует рекомендацию на основании данных для предложения кандидатур замены</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Имеется возможность замены в данном составе суда?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 проверяет есть ли возможность заменить судью на другого, или сформировать новый состав для рассмотрения в данном суде.</w:t>
            </w:r>
          </w:p>
          <w:p w:rsidR="00000000" w:rsidRDefault="005571FB">
            <w:pPr>
              <w:pStyle w:val="a3"/>
            </w:pPr>
            <w:r>
              <w:t>Если «Да», то переход к шаг</w:t>
            </w:r>
            <w:r>
              <w:t>у 23 процесса.</w:t>
            </w:r>
          </w:p>
          <w:p w:rsidR="00000000" w:rsidRDefault="005571FB">
            <w:pPr>
              <w:pStyle w:val="a3"/>
            </w:pPr>
            <w:r>
              <w:t>Если «Нет», то переход к шагу 15 процесса.</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Рекомендация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Выбранная кандидатура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ТБП139.Проверить выводы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 xml:space="preserve">Переход к типовому процессу "Проверить вывод системы" </w:t>
            </w:r>
            <w:r>
              <w:rPr>
                <w:rFonts w:eastAsia="Times New Roman"/>
                <w:color w:val="161616"/>
              </w:rPr>
              <w:t>Ознакомление с рекомендаци</w:t>
            </w:r>
            <w:r>
              <w:rPr>
                <w:rFonts w:eastAsia="Times New Roman"/>
                <w:color w:val="161616"/>
              </w:rPr>
              <w:t>ями системы в данном составе суда с учетом правил, согласие или ввод кандидатуры в систему</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ТБП88.Подготовить дело к передаче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Если невозможно заменить судью или сформировать новый со</w:t>
            </w:r>
            <w:r>
              <w:t>став суда для рассмотрения дела в данном суде, то дело будет направлено в вышестоящий суд для принятия решения о направлении в иной арбитражный суд того же уровня для рассмотрения дела по существу. Переход к типовому процессу «Подготовить дело к передаче».</w:t>
            </w:r>
            <w:r>
              <w:t xml:space="preserve"> Результатом данного типового процесса станет подготовка дела к передаче в вышестоящий суд с оформлением дела в соответствии с положениями Инструкции по делопроизводству № 100.</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ТБП47.Направить 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 будет направлено в вышестоящий суд для решения вопроса о передаче на рассмотрение в другой арбитражный суд того же уровня. Переход к типовому процессу «Направить дело». Результатом данного типового процесса станет направление дела в вышестоящий суд дл</w:t>
            </w:r>
            <w:r>
              <w:t>я принятия решения в какой арбитражный суд его направить на рассмотрение.</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Дело направлено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Завершение процесса замены судьи. Дело будет направлено в иной арбитражный суд того же уровня на рассмотрение через вышестоящий суд.</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Вышестоящий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Получено дело для распределения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Вышестоящий суд получает дело для определение арбитражного суда, которому необходимо направить дело на рассмотрение.</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Вышестоящий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Определить суд для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Вышестоящий суд определяет арбитражный суд того же уровня для рассмотрения дела по существу.</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Вышестоящий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Передать дело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Вышестоящий суд передает дело для рассмотрения по существу в определенный суд</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Вышестоящ</w:t>
            </w:r>
            <w:r>
              <w:t>ий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Завершающее событие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Завершение процесса замены судьи.</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Рекомендация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Выбранная кандидатура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ТБП139.Проверить выводы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rPr>
                <w:rFonts w:eastAsia="Times New Roman"/>
              </w:rPr>
            </w:pPr>
            <w:r>
              <w:rPr>
                <w:rFonts w:eastAsia="Times New Roman"/>
              </w:rPr>
              <w:t xml:space="preserve">Переход к типовому процессу "Проверить вывод системы" </w:t>
            </w:r>
            <w:r>
              <w:rPr>
                <w:rFonts w:eastAsia="Times New Roman"/>
                <w:color w:val="161616"/>
              </w:rPr>
              <w:t>Ознакомление с рекомендациями системы в данном составе суда с учетом правил, согласие или ввод кандидатуры в систему</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Существуют правила по замены судьи?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Если локальным нормативным актом ус</w:t>
            </w:r>
            <w:r>
              <w:t>тановлен специальный порядок замены судьи внутри суда в зависимости от основания замены, то будет применяться специальный порядок.</w:t>
            </w:r>
          </w:p>
          <w:p w:rsidR="00000000" w:rsidRDefault="005571FB">
            <w:pPr>
              <w:pStyle w:val="a3"/>
            </w:pPr>
            <w:r>
              <w:t>Председатель суда/уполномоченное лицо проверяет, есть ли специальные правила внутри суда по замене судьи</w:t>
            </w:r>
          </w:p>
          <w:p w:rsidR="00000000" w:rsidRDefault="005571FB">
            <w:pPr>
              <w:pStyle w:val="a3"/>
            </w:pPr>
            <w:r>
              <w:t> Если «Да», то перех</w:t>
            </w:r>
            <w:r>
              <w:t>од к шагу 25 процесса.</w:t>
            </w:r>
          </w:p>
          <w:p w:rsidR="00000000" w:rsidRDefault="005571FB">
            <w:pPr>
              <w:pStyle w:val="a3"/>
            </w:pPr>
            <w:r>
              <w:t>Если «Нет», то переход к шагу 28 процесса.</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Решение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Распоряжение о передаче дела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ТБП49.Сформировать и подписать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w:t>
            </w:r>
            <w:r>
              <w:t xml:space="preserve">редседатель суда/уполномоченное лицо принимает распоряжение о передаче дела для рассмотрения по существу. Переход к типовому процессу ««Сформировать и подписать документ». Результатом данного типового процесса станет формирование и подписание распоряжения </w:t>
            </w:r>
            <w:r>
              <w:t>о передаче дела для рассмотрения по существу новому судье.</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Распоряжение о передаче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ТБП88.Подготовить дело к передаче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На основании распоряжения председателя/иного уполномоченного лица судебным отделением должно быть подготовлено дело к передаче в другой состав. Переход к типовому процессу «Подготовить дело к передаче».</w:t>
            </w:r>
          </w:p>
          <w:p w:rsidR="00000000" w:rsidRDefault="005571FB">
            <w:pPr>
              <w:pStyle w:val="a3"/>
            </w:pPr>
            <w:r>
              <w:t>Результатом данного типового процесса станет оформлен</w:t>
            </w:r>
            <w:r>
              <w:t>ное и подготовленное к передаче в соответствии с положениями Инструкции по делопроизводству № 100 дело.</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ТБП12.Передать дело/документ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Подготовленное дело на основании распоряжения председателя/ин</w:t>
            </w:r>
            <w:r>
              <w:t>ого уполномоченного лица судебным отделением будет передано в состав нового судьи. Переход к типовому процессу «Передать дело/документ судье». Результатом данного типового процесса станет передача дела новому судье с внесением данных о передаче в соответст</w:t>
            </w:r>
            <w:r>
              <w:t>вующий реестр суда.</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Решение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Отметить дело к распределению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 в ИС суда отмечает дело как необходимое к распределению.</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Технический акт распределения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ТБП54.Распределить дело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Переход к типовому процессу «Распределить дело судье». Результатом данного типового процесса станет распределение дела новому судье с формированием технического акта</w:t>
            </w:r>
            <w:r>
              <w:t xml:space="preserve"> распределения.</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ТБП88.Подготовить дело к передаче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На основании технического акта распределения дело будет готовиться судебным составом для передачи новому судье. Переход к типовому процессу «Подготови</w:t>
            </w:r>
            <w:r>
              <w:t>ть дело к передаче». Результатом данного типового процесса станет подготовка дела к передаче новому судье с оформлением дела в соответствии с положениями Инструкции по делопроизводству № 100.</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ТБП12.Передать дело/документ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После того, как дело подготовлено к передаче, оно будет передано в состав нового судьи по реестру. Переход к типовому процессу «Передать дело/документ судье». Результатом данного типового процесса станет передача дела новому судь</w:t>
            </w:r>
            <w:r>
              <w:t>е с внесением данных о передаче в соответствующий реестр суда.</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Закрывающий шлюз для шага 24 процесса.</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Получено дело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Судья получает дело для рассмотрения по существу после замены предыдущего судьи.</w:t>
            </w:r>
          </w:p>
        </w:tc>
      </w:tr>
      <w:tr w:rsidR="00000000">
        <w:trPr>
          <w:divId w:val="2320128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Завершающее событие. Переход в основной процесс на стадию подготовки.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Завершение процесса замены судьи. Далее Судья переходит к рассмотрению дела по существ</w:t>
            </w:r>
            <w:r>
              <w:t>у со стадии подготовки к судебному разбирательству в том процессе, к которому относится переданное дело.</w:t>
            </w:r>
          </w:p>
        </w:tc>
      </w:tr>
    </w:tbl>
    <w:p w:rsidR="00000000" w:rsidRDefault="005571FB">
      <w:pPr>
        <w:pStyle w:val="2"/>
        <w:rPr>
          <w:rFonts w:eastAsia="Times New Roman"/>
        </w:rPr>
      </w:pPr>
      <w:r>
        <w:rPr>
          <w:rFonts w:eastAsia="Times New Roman"/>
        </w:rPr>
        <w:t>4. Пользователи и роли</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1023243935"/>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Бизнес-роль (с указанием суда/инстанции/иного административного органа)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Выполняемые действия/функция</w:t>
            </w:r>
          </w:p>
        </w:tc>
      </w:tr>
      <w:tr w:rsidR="00000000">
        <w:trPr>
          <w:divId w:val="10232439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Председатель суда/уполномоченное лицо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Принятие решения о необходимости замены судьи, вынесение определения о замене, распределение дела новому судье, координация процесса замены</w:t>
            </w:r>
          </w:p>
        </w:tc>
      </w:tr>
      <w:tr w:rsidR="00000000">
        <w:trPr>
          <w:divId w:val="10232439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Судебное отделение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Направление документов</w:t>
            </w:r>
            <w:r>
              <w:t xml:space="preserve"> лицам, участвующим в деле, подготовка дела к передаче, передача дела судье, ведение документооборота</w:t>
            </w:r>
          </w:p>
        </w:tc>
      </w:tr>
      <w:tr w:rsidR="00000000">
        <w:trPr>
          <w:divId w:val="10232439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Судья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Получение дела для рассмотрения по существу, переход к рассмотрению дела на стадии подготовки</w:t>
            </w:r>
          </w:p>
        </w:tc>
      </w:tr>
      <w:tr w:rsidR="00000000">
        <w:trPr>
          <w:divId w:val="10232439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Лица, участвующие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Получение</w:t>
            </w:r>
            <w:r>
              <w:t xml:space="preserve"> определения о замене судьи, ознакомление с содержанием определения</w:t>
            </w:r>
          </w:p>
        </w:tc>
      </w:tr>
      <w:tr w:rsidR="00000000">
        <w:trPr>
          <w:divId w:val="10232439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Другой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Получение дела для рассмотрения по существу при передаче из вышестоящего суда</w:t>
            </w:r>
          </w:p>
        </w:tc>
      </w:tr>
      <w:tr w:rsidR="00000000">
        <w:trPr>
          <w:divId w:val="10232439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Формирует рекомендации пользователю с учетом производственного календаря, с учетом отпуск</w:t>
            </w:r>
            <w:r>
              <w:t>ов и больничных, с учетом специфики дела и состава суда, позволяет выбрать пользователя для замены, формирует шаблоны документов с учетом новых данных, информирует лиц участвующих в деле и вышестоящий суд в случае необходимости, фиксирует данные об ознаком</w:t>
            </w:r>
            <w:r>
              <w:t>лении по лицам участвующим в деле, связывает сущности при вынесении судебных документов.</w:t>
            </w:r>
          </w:p>
        </w:tc>
      </w:tr>
    </w:tbl>
    <w:p w:rsidR="00000000" w:rsidRDefault="005571FB">
      <w:pPr>
        <w:pStyle w:val="2"/>
        <w:rPr>
          <w:rFonts w:eastAsia="Times New Roman"/>
        </w:rPr>
      </w:pPr>
      <w:r>
        <w:rPr>
          <w:rFonts w:eastAsia="Times New Roman"/>
        </w:rPr>
        <w:t>5. Реестр справочников</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048920805"/>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Название справочника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Структура справочника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Значения справочника</w:t>
            </w:r>
          </w:p>
        </w:tc>
      </w:tr>
      <w:tr w:rsidR="00000000">
        <w:trPr>
          <w:divId w:val="1048920805"/>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Справочники (классификаторы) ПК САД указаны в Приложении к Заключению об обследовании текущего состояния субъектов автоматизации (3-я очередь).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w:t>
            </w:r>
          </w:p>
        </w:tc>
      </w:tr>
    </w:tbl>
    <w:p w:rsidR="00000000" w:rsidRDefault="005571FB">
      <w:pPr>
        <w:pStyle w:val="2"/>
        <w:rPr>
          <w:rFonts w:eastAsia="Times New Roman"/>
        </w:rPr>
      </w:pPr>
      <w:r>
        <w:rPr>
          <w:rFonts w:eastAsia="Times New Roman"/>
        </w:rPr>
        <w:t> </w:t>
      </w:r>
    </w:p>
    <w:p w:rsidR="00000000" w:rsidRDefault="005571FB">
      <w:pPr>
        <w:pStyle w:val="2"/>
        <w:rPr>
          <w:rFonts w:eastAsia="Times New Roman"/>
        </w:rPr>
      </w:pPr>
      <w:r>
        <w:rPr>
          <w:rFonts w:eastAsia="Times New Roman"/>
        </w:rPr>
        <w:t>6. Процессуальные документы</w:t>
      </w:r>
    </w:p>
    <w:p w:rsidR="00000000" w:rsidRDefault="005571FB">
      <w:pPr>
        <w:pStyle w:val="3"/>
        <w:rPr>
          <w:rFonts w:eastAsia="Times New Roman"/>
        </w:rPr>
      </w:pPr>
      <w:r>
        <w:rPr>
          <w:rFonts w:eastAsia="Times New Roman"/>
        </w:rPr>
        <w:t>6.1. Документы рассмотрения</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rPr>
          <w:divId w:val="361826457"/>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 xml:space="preserve">Форма </w:t>
            </w:r>
            <w:r>
              <w:rPr>
                <w:rStyle w:val="a4"/>
              </w:rPr>
              <w:t>(печатная/устная)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Образец / ссылка на облако, где располагается</w:t>
            </w:r>
          </w:p>
        </w:tc>
      </w:tr>
      <w:tr w:rsidR="00000000">
        <w:trPr>
          <w:divId w:val="3618264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Распоряжение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Распоряжение о передаче дела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Шаблон распоряжения о передаче дела</w:t>
            </w:r>
          </w:p>
        </w:tc>
      </w:tr>
      <w:tr w:rsidR="00000000">
        <w:trPr>
          <w:divId w:val="3618264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Акт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Технический акт распределения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Шаблон технического акта распределения</w:t>
            </w:r>
          </w:p>
        </w:tc>
      </w:tr>
    </w:tbl>
    <w:p w:rsidR="00000000" w:rsidRDefault="005571FB">
      <w:pPr>
        <w:pStyle w:val="3"/>
        <w:rPr>
          <w:rFonts w:eastAsia="Times New Roman"/>
        </w:rPr>
      </w:pPr>
      <w:r>
        <w:rPr>
          <w:rFonts w:eastAsia="Times New Roman"/>
        </w:rPr>
        <w:t>6.2. Судебные акты</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rPr>
          <w:divId w:val="691538173"/>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Форма (протокольное/отдельный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Обжалуется (да/нет)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Образец / ссылка на облако</w:t>
            </w:r>
          </w:p>
        </w:tc>
      </w:tr>
      <w:tr w:rsidR="00000000">
        <w:trPr>
          <w:divId w:val="6915381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Отдельный судебный акт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Шаблон определения о замене судьи</w:t>
            </w:r>
          </w:p>
        </w:tc>
      </w:tr>
    </w:tbl>
    <w:p w:rsidR="00000000" w:rsidRDefault="005571FB">
      <w:pPr>
        <w:pStyle w:val="2"/>
        <w:rPr>
          <w:rFonts w:eastAsia="Times New Roman"/>
        </w:rPr>
      </w:pPr>
      <w:r>
        <w:rPr>
          <w:rFonts w:eastAsia="Times New Roman"/>
        </w:rPr>
        <w:t>7. Межведомственное взаимодействие</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750468665"/>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Ведомство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Вид взаимодействия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Система</w:t>
            </w:r>
          </w:p>
        </w:tc>
      </w:tr>
      <w:tr w:rsidR="00000000">
        <w:trPr>
          <w:divId w:val="175046866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Другой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Получение дела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Отсутствует, передается на бумаге.</w:t>
            </w:r>
          </w:p>
        </w:tc>
      </w:tr>
    </w:tbl>
    <w:p w:rsidR="00000000" w:rsidRDefault="005571FB">
      <w:pPr>
        <w:pStyle w:val="2"/>
        <w:rPr>
          <w:rFonts w:eastAsia="Times New Roman"/>
        </w:rPr>
      </w:pPr>
      <w:r>
        <w:rPr>
          <w:rFonts w:eastAsia="Times New Roman"/>
        </w:rPr>
        <w:t>8. Информация о сроках</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1741052325"/>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Шаг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Описание действия, дл</w:t>
            </w:r>
            <w:r>
              <w:rPr>
                <w:rStyle w:val="a4"/>
              </w:rPr>
              <w:t>я которого установлен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Срок (год, месяц,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rPr>
                <w:rStyle w:val="a4"/>
              </w:rPr>
              <w:t>Каким правовым актом установлен (при наличии)</w:t>
            </w:r>
          </w:p>
        </w:tc>
      </w:tr>
      <w:tr w:rsidR="00000000">
        <w:trPr>
          <w:divId w:val="17410523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Формирование распоряжения о передаче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 день принятия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АПК РФ, Инструкция по делопроизводству № 100</w:t>
            </w:r>
          </w:p>
        </w:tc>
      </w:tr>
      <w:tr w:rsidR="00000000">
        <w:trPr>
          <w:divId w:val="17410523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21, 25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Передача дела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 день формирования распоряжения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АПК РФ, Инструкция по делопроизводству № 100</w:t>
            </w:r>
          </w:p>
        </w:tc>
      </w:tr>
      <w:tr w:rsidR="00000000">
        <w:trPr>
          <w:divId w:val="17410523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27-28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Получение дела судьей и переход к подготовке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В день передачи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5571FB">
            <w:pPr>
              <w:pStyle w:val="a3"/>
            </w:pPr>
            <w:r>
              <w:t>АПК РФ, Инструкция по делопроизводству № 100</w:t>
            </w:r>
          </w:p>
        </w:tc>
      </w:tr>
    </w:tbl>
    <w:p w:rsidR="00000000" w:rsidRDefault="005571FB">
      <w:pPr>
        <w:pStyle w:val="a3"/>
      </w:pPr>
      <w:r>
        <w:rPr>
          <w:rStyle w:val="a5"/>
        </w:rPr>
        <w:t>Примечание:</w:t>
      </w:r>
      <w:r>
        <w:t xml:space="preserve"> В российском арбитражном процессе нет установле</w:t>
      </w:r>
      <w:r>
        <w:t>нных процессуальных сроков для самой замены судьи, поскольку она происходит при наличии оснований, предусмотренных законом, таких как длительное отсутствие судьи или его прекращение полномочий. Однако при такой замене судебное разбирательство должно начать</w:t>
      </w:r>
      <w:r>
        <w:t>ся с начала, а решение по делу должно быть принято в установленные законом сроки, которые могут быть продлены в исключительных случаях. </w:t>
      </w:r>
    </w:p>
    <w:p w:rsidR="00000000" w:rsidRDefault="005571FB">
      <w:pPr>
        <w:pStyle w:val="4"/>
        <w:spacing w:after="240" w:afterAutospacing="0"/>
        <w:rPr>
          <w:rFonts w:eastAsia="Times New Roman"/>
        </w:rPr>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71FB"/>
    <w:rsid w:val="005571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DC5756-609E-482E-AED4-76C3BF6B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sz w:val="24"/>
      <w:szCs w:val="24"/>
    </w:rPr>
  </w:style>
  <w:style w:type="character" w:styleId="a5">
    <w:name w:val="Emphasis"/>
    <w:basedOn w:val="a0"/>
    <w:uiPriority w:val="20"/>
    <w:qFormat/>
    <w:rPr>
      <w:i/>
      <w:iCs/>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012853">
      <w:marLeft w:val="0"/>
      <w:marRight w:val="0"/>
      <w:marTop w:val="0"/>
      <w:marBottom w:val="0"/>
      <w:divBdr>
        <w:top w:val="none" w:sz="0" w:space="0" w:color="auto"/>
        <w:left w:val="none" w:sz="0" w:space="0" w:color="auto"/>
        <w:bottom w:val="none" w:sz="0" w:space="0" w:color="auto"/>
        <w:right w:val="none" w:sz="0" w:space="0" w:color="auto"/>
      </w:divBdr>
    </w:div>
    <w:div w:id="361826457">
      <w:marLeft w:val="0"/>
      <w:marRight w:val="0"/>
      <w:marTop w:val="0"/>
      <w:marBottom w:val="0"/>
      <w:divBdr>
        <w:top w:val="none" w:sz="0" w:space="0" w:color="auto"/>
        <w:left w:val="none" w:sz="0" w:space="0" w:color="auto"/>
        <w:bottom w:val="none" w:sz="0" w:space="0" w:color="auto"/>
        <w:right w:val="none" w:sz="0" w:space="0" w:color="auto"/>
      </w:divBdr>
    </w:div>
    <w:div w:id="691538173">
      <w:marLeft w:val="0"/>
      <w:marRight w:val="0"/>
      <w:marTop w:val="0"/>
      <w:marBottom w:val="0"/>
      <w:divBdr>
        <w:top w:val="none" w:sz="0" w:space="0" w:color="auto"/>
        <w:left w:val="none" w:sz="0" w:space="0" w:color="auto"/>
        <w:bottom w:val="none" w:sz="0" w:space="0" w:color="auto"/>
        <w:right w:val="none" w:sz="0" w:space="0" w:color="auto"/>
      </w:divBdr>
    </w:div>
    <w:div w:id="1023243935">
      <w:marLeft w:val="0"/>
      <w:marRight w:val="0"/>
      <w:marTop w:val="0"/>
      <w:marBottom w:val="0"/>
      <w:divBdr>
        <w:top w:val="none" w:sz="0" w:space="0" w:color="auto"/>
        <w:left w:val="none" w:sz="0" w:space="0" w:color="auto"/>
        <w:bottom w:val="none" w:sz="0" w:space="0" w:color="auto"/>
        <w:right w:val="none" w:sz="0" w:space="0" w:color="auto"/>
      </w:divBdr>
    </w:div>
    <w:div w:id="1048920805">
      <w:marLeft w:val="0"/>
      <w:marRight w:val="0"/>
      <w:marTop w:val="0"/>
      <w:marBottom w:val="0"/>
      <w:divBdr>
        <w:top w:val="none" w:sz="0" w:space="0" w:color="auto"/>
        <w:left w:val="none" w:sz="0" w:space="0" w:color="auto"/>
        <w:bottom w:val="none" w:sz="0" w:space="0" w:color="auto"/>
        <w:right w:val="none" w:sz="0" w:space="0" w:color="auto"/>
      </w:divBdr>
    </w:div>
    <w:div w:id="1691103237">
      <w:marLeft w:val="0"/>
      <w:marRight w:val="0"/>
      <w:marTop w:val="0"/>
      <w:marBottom w:val="0"/>
      <w:divBdr>
        <w:top w:val="none" w:sz="0" w:space="0" w:color="auto"/>
        <w:left w:val="none" w:sz="0" w:space="0" w:color="auto"/>
        <w:bottom w:val="none" w:sz="0" w:space="0" w:color="auto"/>
        <w:right w:val="none" w:sz="0" w:space="0" w:color="auto"/>
      </w:divBdr>
    </w:div>
    <w:div w:id="1741052325">
      <w:marLeft w:val="0"/>
      <w:marRight w:val="0"/>
      <w:marTop w:val="0"/>
      <w:marBottom w:val="0"/>
      <w:divBdr>
        <w:top w:val="none" w:sz="0" w:space="0" w:color="auto"/>
        <w:left w:val="none" w:sz="0" w:space="0" w:color="auto"/>
        <w:bottom w:val="none" w:sz="0" w:space="0" w:color="auto"/>
        <w:right w:val="none" w:sz="0" w:space="0" w:color="auto"/>
      </w:divBdr>
    </w:div>
    <w:div w:id="175046866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2255</Words>
  <Characters>12854</Characters>
  <Application>Microsoft Office Word</Application>
  <DocSecurity>4</DocSecurity>
  <Lines>107</Lines>
  <Paragraphs>30</Paragraphs>
  <ScaleCrop>false</ScaleCrop>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ТБП28 "Заменить судью" TO BE</dc:title>
  <dc:subject/>
  <dc:creator>Швецов Сергей Вячеславович</dc:creator>
  <cp:keywords/>
  <dc:description/>
  <cp:lastModifiedBy>Швецов Сергей Вячеславович</cp:lastModifiedBy>
  <cp:revision>2</cp:revision>
  <dcterms:created xsi:type="dcterms:W3CDTF">2025-11-19T10:09:00Z</dcterms:created>
  <dcterms:modified xsi:type="dcterms:W3CDTF">2025-11-19T10:09:00Z</dcterms:modified>
</cp:coreProperties>
</file>