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7537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ТБП42: "Провести зачет госпошлины" TO BE</w:t>
      </w:r>
    </w:p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304263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230426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30426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"Налоговый кодекс Российской Федерации (часть вторая)" от 05.08.2000 N 117-ФЗ (ред. от 31.07.2025) (с изм. и доп., вступ. в силу с 01.10.2025)</w:t>
            </w:r>
          </w:p>
        </w:tc>
      </w:tr>
      <w:tr w:rsidR="00000000">
        <w:trPr>
          <w:divId w:val="230426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</w:t>
            </w:r>
            <w:r>
              <w:rPr>
                <w:color w:val="000000"/>
              </w:rPr>
              <w:t>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87537B">
      <w:pPr>
        <w:pStyle w:val="a3"/>
      </w:pPr>
      <w:r>
        <w:rPr>
          <w:color w:val="000000"/>
        </w:rPr>
        <w:t>BPMN-файл: "TBP42_provesti_zachet_GP_bpmn_tobe.bpmn"</w:t>
      </w:r>
    </w:p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066093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</w:t>
            </w:r>
            <w:r>
              <w:rPr>
                <w:rFonts w:eastAsia="Times New Roman"/>
                <w:b/>
                <w:bCs/>
                <w:color w:val="000000"/>
              </w:rPr>
              <w:t>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заявление о зачете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зачете государственной пошлины может быть подано вместе с поступающим в суд ПД, а также может быть заявлено отдельно в ходе производства по</w:t>
            </w:r>
            <w:r>
              <w:rPr>
                <w:rFonts w:eastAsia="Times New Roman"/>
                <w:color w:val="000000"/>
              </w:rPr>
              <w:t xml:space="preserve"> делу. Основания и порядок зачета государственной пошлины регулируется ст. 333.40 НК РФ и ст.104 АПК РФ. Если заявление принято к рассмотрению, то стартует процесс рассмотрения такого заявления судом.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</w:t>
            </w:r>
            <w:r>
              <w:rPr>
                <w:rFonts w:eastAsia="Times New Roman"/>
                <w:color w:val="000000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должен проверить факт уплаты государственной пошлины. Переход к типовому процессу «Проверить уплату госпошлины». Результатом данного типового процесса станет проверка факта уплаты государственной пошлины по делу, размера ее уплаты и наличие документа</w:t>
            </w:r>
            <w:r>
              <w:rPr>
                <w:rFonts w:eastAsia="Times New Roman"/>
                <w:color w:val="000000"/>
              </w:rPr>
              <w:t>, подтверждающего ее уплату. Автоматическая проверка данных о госпошлине в информационных системах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требуемую к зачету сумму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получает данные напрямую из ГИС ГМП и автоматически сравнивает с реквизитами платёжного документа. Судья/помощник видит результат проверки и только подтверждает.</w:t>
            </w:r>
            <w:r>
              <w:rPr>
                <w:rFonts w:eastAsia="Times New Roman"/>
                <w:color w:val="000000"/>
              </w:rPr>
              <w:br/>
              <w:t>Автоматический расчет суммы к зачету на основе данных дела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зач</w:t>
            </w:r>
            <w:r>
              <w:rPr>
                <w:rFonts w:eastAsia="Times New Roman"/>
                <w:color w:val="000000"/>
              </w:rPr>
              <w:t>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основания для зачета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 + LLM анализируют приложенные документы (заявления, квитанции, доверенности), классифицируют их по типу и выдают рекомендацию: «основания подтверждены» / «недостаточно документов», прове</w:t>
            </w:r>
            <w:r>
              <w:rPr>
                <w:rFonts w:eastAsia="Times New Roman"/>
                <w:color w:val="000000"/>
              </w:rPr>
              <w:t xml:space="preserve">ряет наличие правовых оснований для проведения зачета государственной пошлины в соответствии с положениями ст. 333.40 НК РФ: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1. Излишняя уплата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2. Возврат заявления или иска без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3. Отказ суда в принятии иска.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4. Прекращение произ</w:t>
            </w:r>
            <w:r>
              <w:rPr>
                <w:rFonts w:eastAsia="Times New Roman"/>
                <w:color w:val="000000"/>
              </w:rPr>
              <w:t>водства по делу (если прекращено без рассмотрения по существу).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5. Заключение мирового соглашения до вынесения решения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6. Оплата ГП по неверным реквизитам / в другой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7. Уплата пошлины за действия, которые не были совершены.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8. Излишняя уплата при пода</w:t>
            </w:r>
            <w:r>
              <w:rPr>
                <w:rFonts w:eastAsia="Times New Roman"/>
                <w:color w:val="000000"/>
              </w:rPr>
              <w:t>че нескольких документов (если одно действие оплачено дважды)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Представлено определение о возврате ГП или справка?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Судья проверяет представил ли заявитель определение о возврате государственной пошлины или справку о возврате государственной пошлины, которые являются документарным подтверждением наличия у заявителя права на зачет государственной пошлины в указанном разм</w:t>
            </w:r>
            <w:r>
              <w:rPr>
                <w:color w:val="000000"/>
              </w:rPr>
              <w:t>ере.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color w:val="000000"/>
              </w:rPr>
              <w:t>Если «Да», то переход к шагу 6 процесса.</w:t>
            </w:r>
            <w:r>
              <w:br/>
            </w:r>
            <w:r>
              <w:rPr>
                <w:color w:val="000000"/>
              </w:rPr>
              <w:t>Если «Нет», то переход к шагу 8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возврате государственной пошлины или 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в базе</w:t>
            </w:r>
            <w:r>
              <w:rPr>
                <w:rFonts w:eastAsia="Times New Roman"/>
                <w:color w:val="000000"/>
              </w:rPr>
              <w:t xml:space="preserve"> судебных актов + интеграция с ФНС/Казначейством, чтобы исключить двойное зачисление госпошлины. Автоматическая проверка корректности документов о возврате.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возврате государственной пошлины или 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отсутствие факта зачета по другим делам по этим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делает поиск по всем зарегистрированным делам (по ИНН, реквизитам плательщика, су</w:t>
            </w:r>
            <w:r>
              <w:rPr>
                <w:rFonts w:eastAsia="Times New Roman"/>
                <w:color w:val="000000"/>
              </w:rPr>
              <w:t>мме, назначению платежа) и сигнализирует о совпадениях(о ранее произведенных зачетах госпошлины).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параллельный шлюз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 шагов 2-3-4-6-7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событие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на основе полученных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агрегирует данные проверок в событие с указание ссылок на документы и выдержки из текста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событие рекомен</w:t>
            </w:r>
            <w:r>
              <w:rPr>
                <w:rFonts w:eastAsia="Times New Roman"/>
                <w:color w:val="000000"/>
              </w:rPr>
              <w:t>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отмечает пользователя в событии рекомендации для уведомления.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событие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Ознакамливается с выводами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отчет системы 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системы верны?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«Да», то переход к шагу 14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15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приняла решение о неверных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об ошибке и указание ошибок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принял решение что выводы системы не корректны, она нажимает на кнопку сформировать отчет об ошибке на шаге 12 процесса и указывает ошибку. Техническая поддержка получает данные для дообучения модели и разбора случая.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Вносит данные в ручн</w:t>
            </w:r>
            <w:r>
              <w:rPr>
                <w:rFonts w:eastAsia="Times New Roman"/>
                <w:color w:val="000000"/>
              </w:rPr>
              <w:t>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данные в ручную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вносит данные в ручную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Установлены основания для зачета госпошлины частично или полностью?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решает, были ли установлены в ходе проверок основания для зачета гос</w:t>
            </w:r>
            <w:r>
              <w:rPr>
                <w:rFonts w:eastAsia="Times New Roman"/>
                <w:color w:val="000000"/>
              </w:rPr>
              <w:t>ударственной пошлины.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Система поддержки принятия решений на основе результатов проверок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18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«Нет, то переход к шагу 19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отдельный СА?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</w:t>
            </w:r>
            <w:r>
              <w:rPr>
                <w:rFonts w:eastAsia="Times New Roman"/>
                <w:color w:val="000000"/>
              </w:rP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решает необходимо ли вынесение отдельного судебного акта об отказе в зачете государственной пошлины.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29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25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отдельный СА?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решает необходимо ли вынесение отдельного судебного акта об отказе в зачете государственной пошлины.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20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21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ходатайства о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решает вынести отдельный СА по вопросу отказа в удовлетворении ходатайства о зачете государственной пошлины. Переход к типовому процес</w:t>
            </w:r>
            <w:r>
              <w:rPr>
                <w:rFonts w:eastAsia="Times New Roman"/>
                <w:color w:val="000000"/>
              </w:rPr>
              <w:t>су «Принять СА» Результатом данного типового процесса станет вынесение определения об отказе в удовлетворении ходатайства о зачете государственной пошлины. Автоматическое формирование проекта определение об отказе в удовлетворении ходатайства о зачете госп</w:t>
            </w:r>
            <w:r>
              <w:rPr>
                <w:rFonts w:eastAsia="Times New Roman"/>
                <w:color w:val="000000"/>
              </w:rPr>
              <w:t>ошлины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автоматически распознаёт документ (OCR);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анализирует его содержание (LLM);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формирует статус («зачесть», «вернуть», «недостаточно данных»);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генерирует проект судебного документа (н</w:t>
            </w:r>
            <w:r>
              <w:rPr>
                <w:rFonts w:eastAsia="Times New Roman"/>
                <w:color w:val="000000"/>
              </w:rPr>
              <w:t>апример, «Определение о возврате госпошлины»).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в событии с выводом системы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отсутствие оснований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выводы системы и устанавливает отсутствие для зачета будут указаны в ином акте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для использования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Отсутствие оснований для зачета будут указаны в ином СА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Отсутствие оснований для зачета будут указаны в ином СА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автоматически распознаёт документ (OCR);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анализирует его содержание (LLM);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формирует статус («зачесть», «вернуть», «недостаточно данных»);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генерирует проект судебного документа (например, «Определение о возврате госпошлины»).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Сформированная рек</w:t>
            </w:r>
            <w:r>
              <w:rPr>
                <w:rFonts w:eastAsia="Times New Roman"/>
                <w:color w:val="000000"/>
              </w:rPr>
              <w:t>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в событии с выводом системы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наличии оснований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 системе фиксирует наличие правовых основани</w:t>
            </w:r>
            <w:r>
              <w:rPr>
                <w:rFonts w:eastAsia="Times New Roman"/>
                <w:color w:val="000000"/>
              </w:rPr>
              <w:t>й для проведения зачета государственной пошлины, указанные выводы суда будут описаны при вынесении иного СА (например, в Определении о принятии к рассмотрению или в Определении об отказе в принятии или в другом).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об основаниях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 для зачета будут указаны в ином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с указанием, что информация об основаниях для зачета будет отражена в другом судебном акте.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</w:t>
            </w:r>
            <w:r>
              <w:rPr>
                <w:rFonts w:eastAsia="Times New Roman"/>
                <w:color w:val="000000"/>
              </w:rPr>
              <w:t>ении ходатайства о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решает вынести отдельный СА по вопросу отказа в удовлетворении ходатайства о зачете государственной пошлины. Переход к типовому процессу «Принять СА» Результатом данного типового процесса станет вынесение определения об отказе в удовлетворении ходата</w:t>
            </w:r>
            <w:r>
              <w:rPr>
                <w:rFonts w:eastAsia="Times New Roman"/>
                <w:color w:val="000000"/>
              </w:rPr>
              <w:t>йства о зачете государственной пошлины. Автоматическое формирование проекта определения об отказе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полном или частичном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После подписания судьёй определения по результатам рассмотрения заявления о зачете государственной пошлины канцелярия суда организует направление копии этого документа истцу/заявителю в соответствии с положениями инструкции по судебному производству № 100.</w:t>
            </w:r>
            <w:r>
              <w:rPr>
                <w:rFonts w:eastAsia="Times New Roman"/>
                <w:color w:val="000000"/>
              </w:rPr>
              <w:t xml:space="preserve"> Переход к типовому процессу «Направить документ». Результатом данного типового процесса станет направление определения о зачете или отказе в зачете заявителю/истцу. Автоматическое направление документа через электронные каналы связи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</w:t>
            </w:r>
            <w:r>
              <w:rPr>
                <w:rFonts w:eastAsia="Times New Roman"/>
                <w:color w:val="000000"/>
              </w:rPr>
              <w:t>ты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Отправлены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отправлен.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акт отправлен.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получает определение суда о зачете государственной пошлины ил</w:t>
            </w:r>
            <w:r>
              <w:rPr>
                <w:rFonts w:eastAsia="Times New Roman"/>
                <w:color w:val="000000"/>
              </w:rPr>
              <w:t>и об отказе в зачете.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Входящие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уведомление о поступлении определения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по зачету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изучает содержание полученного определения суда по вопросу зачета государственной пошлины.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дате и времени получения и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и отправить дату и время доставки 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получения и прочтения.</w:t>
            </w:r>
            <w:r>
              <w:rPr>
                <w:rFonts w:eastAsia="Times New Roman"/>
                <w:color w:val="000000"/>
              </w:rPr>
              <w:br/>
              <w:t>Контроль процессуальных сроков → система автоматически запускает отсчёт от даты подтверждения доставки документа и шлёт напоминания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решает, необходимо ли ему обжаловать полученное определение.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38 процесса.Если «Нет», то переход к шагу 39 процесса.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апелляционному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инициирует процесс апелляционного обжалования определения суда. Завершение процесса провести зачет госпошлины.</w:t>
            </w:r>
          </w:p>
        </w:tc>
      </w:tr>
      <w:tr w:rsidR="00000000">
        <w:trPr>
          <w:divId w:val="4066093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Нет оснований для обжалования.</w:t>
            </w:r>
            <w:r>
              <w:rPr>
                <w:rFonts w:eastAsia="Times New Roman"/>
                <w:color w:val="000000"/>
              </w:rPr>
              <w:br/>
              <w:t>Завершение проц</w:t>
            </w:r>
            <w:r>
              <w:rPr>
                <w:rFonts w:eastAsia="Times New Roman"/>
                <w:color w:val="000000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Нет оснований для обжалования.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217837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32178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Рассмотрение заявления о зачете государственной пошлины, проверка оснований для зачета, проверка документов об уплате и возврате госпошлины, принятие решения о зачете или отказе в зачете, вынесение определения.</w:t>
            </w:r>
          </w:p>
        </w:tc>
      </w:tr>
      <w:tr w:rsidR="00000000">
        <w:trPr>
          <w:divId w:val="32178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Направление опр</w:t>
            </w:r>
            <w:r>
              <w:rPr>
                <w:color w:val="000000"/>
              </w:rPr>
              <w:t>еделения о зачете государственной пошлины заявителю и другим участникам процесса.</w:t>
            </w:r>
          </w:p>
        </w:tc>
      </w:tr>
      <w:tr w:rsidR="00000000">
        <w:trPr>
          <w:divId w:val="32178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Получение и изучение определения суда по вопросу зачета государственной пошлины, принятие решения об обжаловании.</w:t>
            </w:r>
          </w:p>
        </w:tc>
      </w:tr>
      <w:tr w:rsidR="00000000">
        <w:trPr>
          <w:divId w:val="321783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Формируется реко</w:t>
            </w:r>
            <w:r>
              <w:rPr>
                <w:color w:val="000000"/>
              </w:rPr>
              <w:t>мендаций на основе документов и приложений дела, формирование шаблонов документов, работа с интеграциями и получение информации, получение данных о дате и времени получения и прочтения документов суда заявителем, контроль процессуальных сроков.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5431277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15431277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87537B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439770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543977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43977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Документ об уп</w:t>
            </w:r>
            <w:r>
              <w:rPr>
                <w:color w:val="000000"/>
              </w:rPr>
              <w:t>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Платежное поручение с отметкой банка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439770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87537B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8822566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8882256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Определение о полном или частичном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8882256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Определение об отказе в удовлетворении ходатайства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301355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13301355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87537B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201856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Ш</w:t>
            </w:r>
            <w:r>
              <w:rPr>
                <w:rStyle w:val="a4"/>
                <w:color w:val="000000"/>
              </w:rPr>
              <w:t>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6201856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10,12, 14,18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Рассмотрение ходатайства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7537B">
            <w:pPr>
              <w:pStyle w:val="a3"/>
            </w:pPr>
            <w:r>
              <w:rPr>
                <w:color w:val="000000"/>
              </w:rPr>
              <w:t>Сроки рассмотрения арбитражным судом заявления о зачёте государственной пошлины прямо не установлены в АПК РФ отдельной нормой, однако порядок и сроки вытекают из совокупности положений Налогового кодекса РФ (ст. 78 и 333.40) и Арбитражного процессуального</w:t>
            </w:r>
            <w:r>
              <w:rPr>
                <w:color w:val="000000"/>
              </w:rPr>
              <w:t xml:space="preserve"> кодекса РФ. После получения заявления о зачете госпошлины арбитражный суд выносит определение в течение пяти дней. В этом определении будет указано, будет ли госпошлина зачтена на другое дело или будет получен отказ. </w:t>
            </w:r>
          </w:p>
        </w:tc>
      </w:tr>
    </w:tbl>
    <w:p w:rsidR="00000000" w:rsidRDefault="0087537B">
      <w:pPr>
        <w:divId w:val="162018569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7B"/>
    <w:rsid w:val="0087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42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2146</Words>
  <Characters>12236</Characters>
  <Application>Microsoft Office Word</Application>
  <DocSecurity>4</DocSecurity>
  <Lines>101</Lines>
  <Paragraphs>28</Paragraphs>
  <ScaleCrop>false</ScaleCrop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ТБП42: "Провести зачет госпошлины"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