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9"/>
        <w:rPr>
          <w:rFonts w:eastAsia="Times New Roman"/>
        </w:rPr>
      </w:pPr>
      <w:r>
        <w:rPr>
          <w:rFonts w:eastAsia="Times New Roman"/>
        </w:rPr>
        <w:t>ТБП-60: Рассмотреть вопрос об объединении дел</w:t>
      </w:r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1. Интервью </w:t>
      </w:r>
    </w:p>
    <w:p>
      <w:pPr>
        <w:pStyle w:val="NormalWeb"/>
        <w:spacing w:before="49" w:after="49"/>
        <w:rPr/>
      </w:pPr>
      <w:r>
        <w:rPr/>
        <w:t xml:space="preserve">Информация содержится в интервью: </w:t>
      </w:r>
      <w:hyperlink r:id="rId2">
        <w:r>
          <w:rPr>
            <w:rStyle w:val="Hyperlink"/>
          </w:rPr>
          <w:t>https://itpm-wiki.mos.ru/pages/viewpage.action?pageId=448862007</w:t>
        </w:r>
      </w:hyperlink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9344"/>
      </w:tblGrid>
      <w:tr>
        <w:trPr>
          <w:tblHeader w:val="true"/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Название НПА с реквизитами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"Арбитражный процессуальный кодекс Российской Федерации" от 24.07.2002 N 95-ФЗ (ред. от 01.04.2025)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Федеральный закон от 26.10.2002 N 127-ФЗ (ред. от 31.07.2025) "О несостоятельности (банкротстве)" (с изм. и доп., вступ. в силу с 01.09.2025)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Постановление Пленума Верховного Суда РФ от 30.06.2020 N 13 "О применении Арбитражного процессуального кодекса Российской Федерации при рассмотрении дел в арбитражном суде кассационной инстанции"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/>
              <w:t>Постановление Пленума ВАС РФ от 25.12.2013 N 99 (ред. от 23.12.2021) "О процессуальных сроках"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/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eastAsia="Times New Roman"/>
              </w:rPr>
            </w:pPr>
            <w:r>
              <w:rPr/>
              <w:t>Постановление Пленума Верховного Суда РФ от 30.06.2020 N 12 "О применении Арбитражного процессуального кодекса Российской Федерации при рассмотрении дел в арбитражном суде апелляционной инстанции"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460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3399"/>
        <w:gridCol w:w="11060"/>
      </w:tblGrid>
      <w:tr>
        <w:trPr/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>
        <w:trPr>
          <w:cantSplit w:val="true"/>
        </w:trPr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Принятие решений об объединении дел, проверка оснований, проверка тождественности, проведение судебных заседаний, принятие судебных актов, контроль правильности объединения</w:t>
            </w:r>
          </w:p>
        </w:tc>
      </w:tr>
      <w:tr>
        <w:trPr>
          <w:trHeight w:val="20" w:hRule="atLeast"/>
          <w:cantSplit w:val="true"/>
        </w:trPr>
        <w:tc>
          <w:tcPr>
            <w:tcW w:w="33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 Арбитражного суда.</w:t>
            </w:r>
          </w:p>
        </w:tc>
        <w:tc>
          <w:tcPr>
            <w:tcW w:w="1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Подготовка к судебному заседанию, направление документов, техническое сопровождение</w:t>
            </w:r>
          </w:p>
        </w:tc>
      </w:tr>
      <w:tr>
        <w:trPr>
          <w:trHeight w:val="20" w:hRule="atLeast"/>
          <w:cantSplit w:val="true"/>
        </w:trPr>
        <w:tc>
          <w:tcPr>
            <w:tcW w:w="339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 по объединенному делу Арбитражного суда</w:t>
            </w:r>
          </w:p>
        </w:tc>
        <w:tc>
          <w:tcPr>
            <w:tcW w:w="1106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Подготовка дела к передаче другому судье, передача дела</w:t>
            </w:r>
          </w:p>
        </w:tc>
      </w:tr>
    </w:tbl>
    <w:p>
      <w:pPr>
        <w:pStyle w:val="NormalWeb"/>
        <w:spacing w:before="49" w:after="49"/>
        <w:rPr/>
      </w:pPr>
      <w:r>
        <w:rPr/>
      </w:r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</w:t>
      </w:r>
    </w:p>
    <w:tbl>
      <w:tblPr>
        <w:tblW w:w="3900" w:type="pct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916"/>
        <w:gridCol w:w="3973"/>
        <w:gridCol w:w="5210"/>
        <w:gridCol w:w="3346"/>
        <w:gridCol w:w="3722"/>
      </w:tblGrid>
      <w:tr>
        <w:trPr>
          <w:tblHeader w:val="true"/>
          <w:cantSplit w:val="true"/>
        </w:trPr>
        <w:tc>
          <w:tcPr>
            <w:tcW w:w="9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№</w:t>
            </w:r>
          </w:p>
        </w:tc>
        <w:tc>
          <w:tcPr>
            <w:tcW w:w="3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5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3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Форма документа</w:t>
            </w:r>
          </w:p>
        </w:tc>
        <w:tc>
          <w:tcPr>
            <w:tcW w:w="3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Образец</w:t>
            </w:r>
          </w:p>
        </w:tc>
      </w:tr>
      <w:tr>
        <w:trPr>
          <w:cantSplit w:val="true"/>
        </w:trPr>
        <w:tc>
          <w:tcPr>
            <w:tcW w:w="9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Ходатайство</w:t>
            </w:r>
          </w:p>
        </w:tc>
        <w:tc>
          <w:tcPr>
            <w:tcW w:w="5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Ходатайство об объединении дел</w:t>
            </w:r>
          </w:p>
        </w:tc>
        <w:tc>
          <w:tcPr>
            <w:tcW w:w="3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Печатная</w:t>
            </w:r>
          </w:p>
        </w:tc>
        <w:tc>
          <w:tcPr>
            <w:tcW w:w="3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Не получен в ходе обследования</w:t>
            </w:r>
          </w:p>
        </w:tc>
      </w:tr>
    </w:tbl>
    <w:p>
      <w:pPr>
        <w:pStyle w:val="NormalWeb"/>
        <w:spacing w:before="49" w:after="49"/>
        <w:rPr/>
      </w:pPr>
      <w:r>
        <w:rPr/>
      </w:r>
    </w:p>
    <w:p>
      <w:pPr>
        <w:pStyle w:val="Heading3"/>
        <w:spacing w:before="49" w:after="49"/>
        <w:rPr/>
      </w:pPr>
      <w:r>
        <w:rPr>
          <w:rFonts w:eastAsia="Times New Roman"/>
        </w:rPr>
        <w:t>4.2 Судебные акты</w:t>
      </w:r>
      <w:r>
        <w:rPr/>
        <w:t xml:space="preserve"> </w:t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11640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392"/>
        <w:gridCol w:w="1330"/>
        <w:gridCol w:w="1843"/>
        <w:gridCol w:w="3195"/>
        <w:gridCol w:w="1531"/>
        <w:gridCol w:w="3348"/>
      </w:tblGrid>
      <w:tr>
        <w:trPr>
          <w:cantSplit w:val="true"/>
        </w:trPr>
        <w:tc>
          <w:tcPr>
            <w:tcW w:w="3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№</w:t>
            </w:r>
          </w:p>
        </w:tc>
        <w:tc>
          <w:tcPr>
            <w:tcW w:w="1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Форма (протокольный/отдельный СА)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Обжалуется (да/нет)</w:t>
            </w:r>
          </w:p>
        </w:tc>
        <w:tc>
          <w:tcPr>
            <w:tcW w:w="33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Образец</w:t>
            </w:r>
          </w:p>
        </w:tc>
      </w:tr>
      <w:tr>
        <w:trPr>
          <w:cantSplit w:val="true"/>
        </w:trPr>
        <w:tc>
          <w:tcPr>
            <w:tcW w:w="3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</w:t>
            </w:r>
          </w:p>
        </w:tc>
        <w:tc>
          <w:tcPr>
            <w:tcW w:w="1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объединении дел (обособленных споров) в одно производство</w:t>
            </w:r>
          </w:p>
        </w:tc>
        <w:tc>
          <w:tcPr>
            <w:tcW w:w="3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Отдельный СА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Auto-cursor-target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3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 получен в ходе обследования</w:t>
            </w:r>
          </w:p>
        </w:tc>
      </w:tr>
      <w:tr>
        <w:trPr>
          <w:cantSplit w:val="true"/>
        </w:trPr>
        <w:tc>
          <w:tcPr>
            <w:tcW w:w="3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</w:t>
            </w:r>
          </w:p>
        </w:tc>
        <w:tc>
          <w:tcPr>
            <w:tcW w:w="133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</w:t>
            </w:r>
          </w:p>
        </w:tc>
        <w:tc>
          <w:tcPr>
            <w:tcW w:w="18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отказе в удовлетворении ходатайства об объединении дел в одно производство</w:t>
            </w:r>
          </w:p>
        </w:tc>
        <w:tc>
          <w:tcPr>
            <w:tcW w:w="31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Отдельный СА</w:t>
            </w:r>
          </w:p>
        </w:tc>
        <w:tc>
          <w:tcPr>
            <w:tcW w:w="15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Auto-cursor-target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34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 получен в ходе обследования</w:t>
            </w:r>
          </w:p>
        </w:tc>
      </w:tr>
      <w:tr>
        <w:trPr>
          <w:cantSplit w:val="true"/>
        </w:trPr>
        <w:tc>
          <w:tcPr>
            <w:tcW w:w="39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</w:t>
            </w:r>
          </w:p>
        </w:tc>
        <w:tc>
          <w:tcPr>
            <w:tcW w:w="133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</w:t>
            </w:r>
          </w:p>
        </w:tc>
        <w:tc>
          <w:tcPr>
            <w:tcW w:w="18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 назначении судебного заседания</w:t>
            </w:r>
          </w:p>
        </w:tc>
        <w:tc>
          <w:tcPr>
            <w:tcW w:w="31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Отдельный СА</w:t>
            </w:r>
          </w:p>
        </w:tc>
        <w:tc>
          <w:tcPr>
            <w:tcW w:w="15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Auto-cursor-target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34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hyperlink r:id="rId3">
              <w:r>
                <w:rPr>
                  <w:rStyle w:val="Hyperlink"/>
                </w:rPr>
                <w:t>Образец</w:t>
              </w:r>
            </w:hyperlink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p>
      <w:pPr>
        <w:pStyle w:val="NormalWeb"/>
        <w:spacing w:before="49" w:after="49"/>
        <w:jc w:val="both"/>
        <w:rPr/>
      </w:pPr>
      <w:r>
        <w:rPr/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 </w:t>
      </w:r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1295"/>
        <w:gridCol w:w="3756"/>
        <w:gridCol w:w="1774"/>
        <w:gridCol w:w="2518"/>
      </w:tblGrid>
      <w:tr>
        <w:trPr/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3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1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2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>
        <w:trPr>
          <w:cantSplit w:val="true"/>
        </w:trPr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22</w:t>
            </w:r>
          </w:p>
        </w:tc>
        <w:tc>
          <w:tcPr>
            <w:tcW w:w="3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Обжалование определения об отказе в удовлетворении ходатайства об объединении дел</w:t>
            </w:r>
          </w:p>
        </w:tc>
        <w:tc>
          <w:tcPr>
            <w:tcW w:w="1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 дней со дня вынесения определения</w:t>
            </w:r>
          </w:p>
        </w:tc>
        <w:tc>
          <w:tcPr>
            <w:tcW w:w="25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АПК РФ, статья 130</w:t>
            </w:r>
          </w:p>
        </w:tc>
      </w:tr>
      <w:tr>
        <w:trPr>
          <w:cantSplit w:val="true"/>
        </w:trPr>
        <w:tc>
          <w:tcPr>
            <w:tcW w:w="129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22, 35</w:t>
            </w:r>
          </w:p>
        </w:tc>
        <w:tc>
          <w:tcPr>
            <w:tcW w:w="375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Направление документов участникам процесса</w:t>
            </w:r>
          </w:p>
        </w:tc>
        <w:tc>
          <w:tcPr>
            <w:tcW w:w="1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 дней со дня вынесения</w:t>
            </w:r>
          </w:p>
        </w:tc>
        <w:tc>
          <w:tcPr>
            <w:tcW w:w="25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АПК РФ, статья 186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9436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696"/>
        <w:gridCol w:w="2193"/>
        <w:gridCol w:w="2243"/>
        <w:gridCol w:w="2183"/>
        <w:gridCol w:w="2121"/>
      </w:tblGrid>
      <w:tr>
        <w:trPr>
          <w:cantSplit w:val="true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№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Наименование справочника</w:t>
            </w:r>
          </w:p>
        </w:tc>
        <w:tc>
          <w:tcPr>
            <w:tcW w:w="22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Назначение справочника</w:t>
            </w:r>
          </w:p>
        </w:tc>
        <w:tc>
          <w:tcPr>
            <w:tcW w:w="2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Структура справочника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Значения справочника</w:t>
            </w:r>
          </w:p>
        </w:tc>
      </w:tr>
      <w:tr>
        <w:trPr>
          <w:trHeight w:val="20" w:hRule="atLeast"/>
          <w:cantSplit w:val="true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1.11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Категории споров</w:t>
            </w:r>
          </w:p>
        </w:tc>
        <w:tc>
          <w:tcPr>
            <w:tcW w:w="22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Категории споров, справочник для ведения судебной статистики</w:t>
            </w:r>
          </w:p>
        </w:tc>
        <w:tc>
          <w:tcPr>
            <w:tcW w:w="2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См. по ссылке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4">
              <w:r>
                <w:rPr>
                  <w:rStyle w:val="Hyperlink"/>
                  <w:rFonts w:eastAsia="Times New Roman"/>
                </w:rPr>
                <w:t>Ссылка на справочник</w:t>
              </w:r>
            </w:hyperlink>
          </w:p>
        </w:tc>
      </w:tr>
      <w:tr>
        <w:trPr>
          <w:trHeight w:val="20" w:hRule="atLeast"/>
          <w:cantSplit w:val="true"/>
        </w:trPr>
        <w:tc>
          <w:tcPr>
            <w:tcW w:w="69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1.15</w:t>
            </w:r>
          </w:p>
        </w:tc>
        <w:tc>
          <w:tcPr>
            <w:tcW w:w="219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Основания процессуального действия (решения)</w:t>
            </w:r>
          </w:p>
        </w:tc>
        <w:tc>
          <w:tcPr>
            <w:tcW w:w="224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Основания процессуального действия (решения), выбираемые в судебном акте</w:t>
            </w:r>
          </w:p>
        </w:tc>
        <w:tc>
          <w:tcPr>
            <w:tcW w:w="21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См. по ссылке</w:t>
            </w:r>
          </w:p>
        </w:tc>
        <w:tc>
          <w:tcPr>
            <w:tcW w:w="212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5">
              <w:r>
                <w:rPr>
                  <w:rStyle w:val="Hyperlink"/>
                  <w:rFonts w:eastAsia="Times New Roman"/>
                </w:rPr>
                <w:t>Ссылка на справочник</w:t>
              </w:r>
            </w:hyperlink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7. Межведомственное взаимодействие </w:t>
      </w:r>
    </w:p>
    <w:p>
      <w:pPr>
        <w:pStyle w:val="NormalWeb"/>
        <w:spacing w:before="49" w:after="49"/>
        <w:rPr/>
      </w:pPr>
      <w:r>
        <w:rPr/>
        <w:t>В описываемом процессе отсутствует межведомственное взаимодействие суда.</w:t>
      </w:r>
    </w:p>
    <w:tbl>
      <w:tblPr>
        <w:tblW w:w="1650" w:type="pct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1521"/>
        <w:gridCol w:w="2238"/>
        <w:gridCol w:w="1264"/>
        <w:gridCol w:w="2238"/>
      </w:tblGrid>
      <w:tr>
        <w:trPr/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>
        <w:trPr>
          <w:cantSplit w:val="true"/>
        </w:trPr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-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-</w:t>
            </w:r>
          </w:p>
        </w:tc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-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8. AS IS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8.1  Схема процесса </w:t>
      </w:r>
    </w:p>
    <w:p>
      <w:pPr>
        <w:pStyle w:val="NormalWeb"/>
        <w:spacing w:before="49" w:after="49"/>
        <w:rPr/>
      </w:pPr>
      <w:r>
        <w:rPr>
          <w:lang w:val="en-US"/>
        </w:rPr>
        <w:t>TBP60_rassmotr_vopros_obedinenii_del_asis.bpmn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8.2 Описание схемы</w:t>
      </w:r>
    </w:p>
    <w:p>
      <w:pPr>
        <w:pStyle w:val="Heading2"/>
        <w:spacing w:before="49" w:after="49"/>
        <w:rPr>
          <w:b w:val="false"/>
          <w:bCs w:val="false"/>
          <w:sz w:val="24"/>
          <w:szCs w:val="24"/>
        </w:rPr>
      </w:pPr>
      <w:r>
        <w:rPr>
          <w:rFonts w:eastAsia="Times New Roman"/>
          <w:sz w:val="24"/>
          <w:szCs w:val="24"/>
        </w:rPr>
        <w:t>Термины и сокращения:</w:t>
      </w:r>
      <w:r>
        <w:rPr>
          <w:rFonts w:eastAsia="Times New Roman"/>
          <w:b w:val="false"/>
          <w:bCs w:val="false"/>
          <w:sz w:val="24"/>
          <w:szCs w:val="24"/>
        </w:rPr>
        <w:t xml:space="preserve"> </w:t>
      </w:r>
      <w:hyperlink r:id="rId6">
        <w:r>
          <w:rPr>
            <w:rStyle w:val="Hyperlink"/>
            <w:rFonts w:eastAsia="Times New Roman"/>
            <w:b w:val="false"/>
            <w:bCs w:val="false"/>
            <w:sz w:val="24"/>
            <w:szCs w:val="24"/>
          </w:rPr>
          <w:t>https://itpm-wiki.mos.ru/pages/viewpage.action?pageId=533161398</w:t>
        </w:r>
      </w:hyperlink>
    </w:p>
    <w:tbl>
      <w:tblPr>
        <w:tblW w:w="12972" w:type="dxa"/>
        <w:jc w:val="left"/>
        <w:tblInd w:w="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4"/>
        <w:gridCol w:w="1635"/>
        <w:gridCol w:w="1326"/>
        <w:gridCol w:w="1631"/>
        <w:gridCol w:w="3010"/>
        <w:gridCol w:w="4536"/>
      </w:tblGrid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Номер действия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Роль</w:t>
              <w:br/>
            </w:r>
            <w:r>
              <w:rPr>
                <w:rStyle w:val="Emphasis"/>
                <w:b/>
                <w:bCs/>
              </w:rPr>
              <w:t>(актор на конкретном шаге, в т.ч. Система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Входящие материалы</w:t>
              <w:br/>
            </w:r>
            <w:r>
              <w:rPr>
                <w:rStyle w:val="Emphasis"/>
                <w:b/>
                <w:bCs/>
              </w:rPr>
              <w:t>(объект/данные, инициирующие шаг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Исходящие материалы</w:t>
              <w:br/>
            </w:r>
            <w:r>
              <w:rPr>
                <w:rStyle w:val="Emphasis"/>
                <w:b/>
                <w:bCs/>
              </w:rPr>
              <w:t>(объект, являющийся результатом действия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Описание шага процесса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0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Возникла необходимость рассмотреть вопрос об объединении дел/ОС.</w:t>
              <w:br/>
              <w:t>Стартовое событие.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Согласно ст. 130 АПК РФ, арбитражный суд первой инстанции вправе объединить несколько однородных дел, в которых участвуют одни и те же лица, в одно производство для совместного рассмотрения. Процесс рассмотрения вопроса об объединении дел (обособленных споров) включает проверку возможности объединения в зависимости от статуса дела, проверку тождественности требований, проведение судебного заседания при необходимости, принятие решения об объединении или отказе, а также техническое объединение дел в информационной системе с последующей проверкой правильности объединения.</w:t>
            </w:r>
          </w:p>
          <w:p>
            <w:pPr>
              <w:pStyle w:val="NormalWeb"/>
              <w:spacing w:before="0" w:after="0"/>
              <w:rPr/>
            </w:pPr>
            <w:r>
              <w:rPr/>
              <w:t>Стартом процесса будет возникновение у судьи необходимости рассмотреть вопрос об объединении дел/обособленных споров.</w:t>
            </w:r>
          </w:p>
        </w:tc>
      </w:tr>
      <w:tr>
        <w:trPr>
          <w:trHeight w:val="10712" w:hRule="atLeast"/>
        </w:trPr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>Проверить вынесение итогового СА по делу/ОС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Согласно ч. 4 ст. 130 АПК РФ объединение дел в одно производство и выделение требований в отдельное производство допускаются до принятия судебного акта, которым заканчивается рассмотрение дела в арбитражном суде первой инстанции.</w:t>
            </w:r>
          </w:p>
          <w:p>
            <w:pPr>
              <w:pStyle w:val="NormalWeb"/>
              <w:spacing w:before="0" w:after="49"/>
              <w:rPr/>
            </w:pPr>
            <w:r>
              <w:rPr/>
              <w:t>Судья проверяет, был ли вынесен итоговый судебный акт по делу/обособленному спору.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Принят итоговый СА по делу/ОС?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49" w:after="49"/>
              <w:rPr/>
            </w:pPr>
            <w:r>
              <w:rPr/>
              <w:t>Судья делает вывод, был ли уже принят итоговый СА по делу/ОС?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3 процесса</w:t>
            </w:r>
          </w:p>
          <w:p>
            <w:pPr>
              <w:pStyle w:val="NormalWeb"/>
              <w:spacing w:before="49" w:afterAutospacing="0" w:after="240"/>
              <w:rPr/>
            </w:pPr>
            <w:r>
              <w:rPr/>
              <w:t>Если «Нет», то переход к шагу 8 процесса.</w:t>
            </w:r>
          </w:p>
        </w:tc>
      </w:tr>
      <w:tr>
        <w:trPr/>
        <w:tc>
          <w:tcPr>
            <w:tcW w:w="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3</w:t>
            </w: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 xml:space="preserve">Проверить категорию дела 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49" w:after="49"/>
              <w:rPr/>
            </w:pPr>
            <w:r>
              <w:rPr/>
              <w:t>Судья проверяет, относится ли дело к категории о несостоятельности (банкротстве) или к другой категории.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4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Дело о несостоятельности (банкротстве)?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 дело, по которому решается вопрос это дело о несостоятельности (банкротстве)?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5 процесса.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Если «Нет», то переход к шагу 7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5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Проверить возможность объединения в рамках дела о банкротстве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 наличия оснований для объединения обособленных споров в рамках дела о банкротстве, в делах о несостоятельности (банкротстве) встречаются случаи, когда объединение обособленных споров возможно несмотря на то, что принято окончательное решение по делу/ОС.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6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Объединение по данному делу/ОС возможно?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49" w:after="49"/>
              <w:rPr/>
            </w:pPr>
            <w:r>
              <w:rPr/>
              <w:t>Судья делает вывод: объединение по данному делу/ОС возможно?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8 процесса.</w:t>
            </w:r>
          </w:p>
          <w:p>
            <w:pPr>
              <w:pStyle w:val="NormalWeb"/>
              <w:spacing w:before="49" w:afterAutospacing="0" w:after="240"/>
              <w:rPr/>
            </w:pPr>
            <w:r>
              <w:rPr/>
              <w:t>Если «Нет», то переход к шагу 7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7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шлюз, объединяющий для шага 4 и шага 6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8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шлюз, объединение потоков шага 2 и шага 6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9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Определить необходимость проведения СЗ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Вопрос об объединении дел может быть рассмотрен как в судебном заседании, так и без его проведения. Судья смотрит есть ли необходимость в проведении судебного заседания для решения вопроса.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10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Необходимо провести СЗ?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11 процесса.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Если «Нет», то переход к шагу 14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 назначении судебного заседания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ТБП44. Назначить СЗ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 пришел к убеждению, что для разрешения вопроса об объединении дел необходимо провести судебное заседание. Вызов ТБП44 "Назначить СЗ", результатом которого будет вынесенное судьей Определение о назначении судебного заседания для рассмотрения вопроса об объединении дел.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7">
              <w:r>
                <w:rPr>
                  <w:rStyle w:val="Hyperlink"/>
                </w:rPr>
                <w:t>Ссылка на процесс</w:t>
              </w:r>
            </w:hyperlink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</w:tc>
      </w:tr>
      <w:tr>
        <w:trPr>
          <w:trHeight w:val="4022" w:hRule="atLeast"/>
        </w:trPr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ТБП66. Подготовиться к СЗ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Вызов ТБП "Подготовиться к СЗ", результатом которого будет</w:t>
              <w:br/>
              <w:t>подготовка материалов дела, извещение лиц, участвующих в деле и другие действия, направленные на подготовку к проведению судебного заседания.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8">
              <w:r>
                <w:rPr>
                  <w:rStyle w:val="Hyperlink"/>
                </w:rPr>
                <w:t>Ссылка на процесс</w:t>
              </w:r>
            </w:hyperlink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13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ТБП68. «Провести СЗ»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Вызов ТБП68 "Провести СЗ". Результатом данного типового процесса будет проведение судебного заседания для рассмотрения вопроса об объединении дел.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9">
              <w:r>
                <w:rPr>
                  <w:rStyle w:val="Hyperlink"/>
                </w:rPr>
                <w:t>Ссылка на процесс</w:t>
              </w:r>
            </w:hyperlink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14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 для шага 10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15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ТБП45. Проверить тождественность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Вызов ТБП45 "Проверить тождественность". Результатом данного типового процесса будет проверка судьей тождественности дел по субъектному составу, предмету и основанию требований.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10">
              <w:r>
                <w:rPr>
                  <w:rStyle w:val="Hyperlink"/>
                </w:rPr>
                <w:t>Ссылка на процесс</w:t>
              </w:r>
            </w:hyperlink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16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Проверить возникновение риска принятия противоречащих СА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 поверяет возникновение риска принятия противоречащих судебных актов.</w:t>
              <w:br/>
              <w:t>ст. 130 АПК РФ Арбитражный суд первой инстанции, установив, что в его производстве имеются несколько дел, связанных между собой по основаниям возникновения заявленных требований и (или) представленным доказательствам, а также в иных случаях возникновения риска принятия противоречащих друг другу судебных актов, по собственной инициативе или по ходатайству лица, участвующего в деле, объединяет эти дела в одно производство для их совместного рассмотрения.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17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Установлены основания для объединения дел/ОС?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Согласно ч. 2 ст. 130 АПК РФ арбитражный суд первой инстанции вправе объединить несколько однородных дел, в которых участвуют одни и те же лица, в одно производство для совместного рассмотрения. После проведенных проверок судья смотрит -были ли установлены основания для объединения дел/ОС?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2</w:t>
            </w:r>
            <w:r>
              <w:rPr>
                <w:lang w:val="en-US"/>
              </w:rPr>
              <w:t>4</w:t>
            </w:r>
            <w:r>
              <w:rPr/>
              <w:t xml:space="preserve"> процесса.</w:t>
            </w:r>
          </w:p>
          <w:p>
            <w:pPr>
              <w:pStyle w:val="NormalWeb"/>
              <w:spacing w:before="49" w:afterAutospacing="0" w:after="240"/>
              <w:rPr/>
            </w:pPr>
            <w:r>
              <w:rPr/>
              <w:t>Если «Нет», то переход к шагу</w:t>
            </w:r>
            <w:r>
              <w:rPr>
                <w:lang w:val="en-US"/>
              </w:rPr>
              <w:t xml:space="preserve"> 18 </w:t>
            </w:r>
            <w:r>
              <w:rPr/>
              <w:t>процесса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18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шлюз.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Закрывающий шлюз </w:t>
            </w:r>
            <w:r>
              <w:rPr>
                <w:lang w:val="ru-RU"/>
              </w:rPr>
              <w:t>для шагов 7 и 17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19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 чьей инициативе рассматривается вопрос об объединении? 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Согласно ч. 2 ст. 130 АПК РФ арбитражный суд первой инстанции вправе объединить несколько однородных дел по собственной инициативе или по ходатайству лица, участвующего в деле. Судья выясняет, вопрос рассматривался по ходатайству участника процесса или по инициативе суда?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по инициативе суда, то переход к шагу 20 процесса.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Если по ходатайству стороны, то переход к шагу 21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20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Завершающее событие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Рассмотрение вопроса об объединении завершено. Суд пришел к выводу о невозможности объединения дела/ОС.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отказе в удовлетворении ходатайства об объединении дел в одно производство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ТБП80. Принять СА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Autospacing="0" w:after="240"/>
              <w:rPr/>
            </w:pPr>
            <w:r>
              <w:rPr/>
              <w:t>Согласно ч. 5 ст. 130 АПК РФ об объединении дел в одно производство или об отказе в этом арбитражный суд выносит определение. Вызов ТБП80 "Принять СА", результатом которого будет вынесенное судьей Определение об отказе в удовлетворении ходатайства об объединении дел в одно производство.</w:t>
            </w:r>
          </w:p>
          <w:p>
            <w:pPr>
              <w:pStyle w:val="NormalWeb"/>
              <w:spacing w:before="0" w:afterAutospacing="0" w:after="240"/>
              <w:rPr/>
            </w:pPr>
            <w:r>
              <w:rPr/>
              <w:t>Срок на обжалование определения об отказе - 10 дней со дня вынесения определения.</w:t>
            </w:r>
          </w:p>
          <w:p>
            <w:pPr>
              <w:pStyle w:val="NormalWeb"/>
              <w:spacing w:before="0" w:afterAutospacing="0" w:after="240"/>
              <w:rPr/>
            </w:pPr>
            <w:r>
              <w:rPr/>
            </w:r>
          </w:p>
          <w:p>
            <w:pPr>
              <w:pStyle w:val="NormalWeb"/>
              <w:spacing w:before="0" w:afterAutospacing="0" w:after="240"/>
              <w:rPr/>
            </w:pPr>
            <w:hyperlink r:id="rId11">
              <w:r>
                <w:rPr>
                  <w:rStyle w:val="Hyperlink"/>
                </w:rPr>
                <w:t>Ссылка на процесс</w:t>
              </w:r>
            </w:hyperlink>
          </w:p>
          <w:p>
            <w:pPr>
              <w:pStyle w:val="NormalWeb"/>
              <w:spacing w:before="0" w:afterAutospacing="0" w:after="240"/>
              <w:rPr/>
            </w:pPr>
            <w:r>
              <w:rPr/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отказе в удовлетворении ходатайства об объединении дел в одно производство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ТБП46. Направить документ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Autospacing="0" w:after="240"/>
              <w:rPr/>
            </w:pPr>
            <w:r>
              <w:rPr/>
              <w:t>Согласно ч. 5 ст. 130 АПК РФ копии определения направляются лицам, участвующим в деле. Вызов ТБП46 "Направить документ", результатом которого будет направление определения суда сторонам.</w:t>
            </w:r>
          </w:p>
          <w:p>
            <w:pPr>
              <w:pStyle w:val="NormalWeb"/>
              <w:spacing w:before="0" w:afterAutospacing="0" w:after="240"/>
              <w:rPr/>
            </w:pPr>
            <w:hyperlink r:id="rId12">
              <w:r>
                <w:rPr>
                  <w:rStyle w:val="Hyperlink"/>
                </w:rPr>
                <w:t>Ссылка на процесс</w:t>
              </w:r>
            </w:hyperlink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23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Завершающее событие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Рассмотрение вопроса об объединении завершено. В удовлетворении ходатайства об объединении дела/ОС отказано, вынесено и направлено определение суда.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24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Проверить нахождение  объединяемых дел в производстве одного судьи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49"/>
              <w:rPr/>
            </w:pPr>
            <w:r>
              <w:rPr/>
              <w:t>Согласно ч. 6 ст. 130 АПК РФ дела, находящиеся в производстве арбитражного суда первой инстанции, в случае объединения их в одно производство передаются судье, который раньше других судей принял исковое заявление к производству арбитражного суда. Судья проверяет, все ли объединяемые дела находятся в его производстве.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25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Все объединяемые дела находятся в производстве данного судьи?</w:t>
              <w:br/>
              <w:t>(Эксклюзивный шлюз)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49" w:after="49"/>
              <w:rPr/>
            </w:pPr>
            <w:r>
              <w:rPr/>
              <w:t>Если «Да», то переход к шагу 29 процесса.</w:t>
            </w:r>
          </w:p>
          <w:p>
            <w:pPr>
              <w:pStyle w:val="NormalWeb"/>
              <w:spacing w:before="49" w:afterAutospacing="0" w:after="240"/>
              <w:rPr/>
            </w:pPr>
            <w:r>
              <w:rPr/>
              <w:t>Если «Нет», то переход к шагу 26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26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Запросить дело для объединения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 запрашивает дело для объединения у другого судьи этого же арбитражного суда.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27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 по объединенному делу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Объединяемое дело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ТБП88. Подготовить дело к передаче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Вызов ТБП88 "Подготовить дело к передаче"</w:t>
              <w:br/>
              <w:t>Помощник судьи, в производстве которого находится объединяемое дело, готовит дело к передаче судье, который принял первое дело. Результатом типового процесса будет оформленное в соответствии с Инструкцией по делопроизводству № 100 дело, подготовленное к передаче.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13">
              <w:r>
                <w:rPr>
                  <w:rStyle w:val="Hyperlink"/>
                </w:rPr>
                <w:t>Ссылка на процесс</w:t>
              </w:r>
            </w:hyperlink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28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 по объединенному делу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Объединяемое дело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ТБП12. Передать дело/документ судье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Вызов ТБП12 "Передать дело/документ судье", результатом которого будет </w:t>
              <w:br/>
              <w:t>передача дела из одного состава в другой по реестру передачи дел и получение дела судьей для объединения.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14">
              <w:r>
                <w:rPr>
                  <w:rStyle w:val="Hyperlink"/>
                </w:rPr>
                <w:t>Ссылка на процесс</w:t>
              </w:r>
            </w:hyperlink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29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шлюз, объединение потоков шага 25 и шага 28 процесса.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30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Присвоить делу/ОС номер хронологически первого принятого дела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Согласно ч. 6 ст. 130 АПК РФ дела, находящиеся в производстве арбитражного суда первой инстанции, в случае объединения их в одно производство передаются судье, который раньше других судей принял исковое заявление к производству арбитражного суда. Судья присваивает делу/обособленному спору номер хронологически первого принятого дела.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31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объединении дел (обособленных споров) в одно производство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ТБП80. Принять СА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Согласно ч. 5 ст. 130 АПК РФ об объединении дел в одно производство арбитражный суд выносит определение. Копии определения направляются лицам, участвующим в деле. Вызов ТБП80 "Принять СА", результатом которого будет вынесение судьей определения об объединении дел (обособленных споров) в одно производство.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15">
              <w:r>
                <w:rPr>
                  <w:rStyle w:val="Hyperlink"/>
                </w:rPr>
                <w:t>Ссылка на процесс</w:t>
              </w:r>
            </w:hyperlink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Система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Объединить дела/ОС в одно производство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ИС суда объединяет дела/обособленные споры в одно производство автоматически, после подписания СА в системе.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33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Блокировать от изменений объединяемое дело/ОС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ИС суда автоматически блокирует ь от изменений объединяемое дело/обособленный спор в системе для предотвращения несогласованных изменений.</w:t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34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об объединении дел (обособленных споров) в одно производство__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ТБП46. Направить документ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Согласно ч. 5 ст. 130 АПК РФ копии определения направляются лицам, участвующим в деле. Вызов ТБП46 "Направить документ", результатом которого будет направление определения об объединении дел (обособленных споров) в одно производство сторонам.</w:t>
            </w:r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  <w:p>
            <w:pPr>
              <w:pStyle w:val="NormalWeb"/>
              <w:spacing w:before="0" w:after="0"/>
              <w:rPr/>
            </w:pPr>
            <w:hyperlink r:id="rId16">
              <w:r>
                <w:rPr>
                  <w:rStyle w:val="Hyperlink"/>
                </w:rPr>
                <w:t>Ссылка на процесс</w:t>
              </w:r>
            </w:hyperlink>
          </w:p>
          <w:p>
            <w:pPr>
              <w:pStyle w:val="NormalWeb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3</w:t>
            </w:r>
            <w:r>
              <w:rPr>
                <w:lang w:val="en-US"/>
              </w:rPr>
              <w:t>5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Завершающее событие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Рассмотрение вопроса об объединении завершено. Дела/ОС объединены.</w:t>
            </w:r>
          </w:p>
        </w:tc>
      </w:tr>
    </w:tbl>
    <w:p>
      <w:pPr>
        <w:pStyle w:val="NormalWeb"/>
        <w:spacing w:before="49" w:after="49"/>
        <w:rPr/>
      </w:pPr>
      <w:r>
        <w:rPr/>
      </w:r>
    </w:p>
    <w:p>
      <w:pPr>
        <w:pStyle w:val="Enh-settings"/>
        <w:spacing w:before="49" w:after="49"/>
        <w:rPr/>
      </w:pPr>
      <w:r>
        <w:rPr/>
        <w:t>{}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Aptos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link w:val="1"/>
    <w:uiPriority w:val="9"/>
    <w:qFormat/>
    <w:pPr>
      <w:spacing w:beforeAutospacing="1" w:afterAutospacing="1"/>
      <w:outlineLvl w:val="0"/>
    </w:pPr>
    <w:rPr>
      <w:b/>
      <w:bCs/>
      <w:kern w:val="2"/>
      <w:sz w:val="48"/>
      <w:szCs w:val="48"/>
    </w:rPr>
  </w:style>
  <w:style w:type="paragraph" w:styleId="Heading2">
    <w:name w:val="Heading 2"/>
    <w:basedOn w:val="Normal"/>
    <w:link w:val="2"/>
    <w:uiPriority w:val="9"/>
    <w:qFormat/>
    <w:pPr>
      <w:spacing w:beforeAutospacing="1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3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3" w:customStyle="1">
    <w:name w:val="Заголовок 3 Знак"/>
    <w:basedOn w:val="DefaultParagraphFont"/>
    <w:uiPriority w:val="9"/>
    <w:semiHidden/>
    <w:qFormat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sid w:val="005d67e4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d67e4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/>
  </w:style>
  <w:style w:type="paragraph" w:styleId="Auto-cursor-target" w:customStyle="1">
    <w:name w:val="auto-cursor-target"/>
    <w:basedOn w:val="Normal"/>
    <w:qFormat/>
    <w:pPr>
      <w:spacing w:beforeAutospacing="1" w:afterAutospacing="1"/>
    </w:pPr>
    <w:rPr/>
  </w:style>
  <w:style w:type="paragraph" w:styleId="Enh-settings" w:customStyle="1">
    <w:name w:val="enh-settings"/>
    <w:basedOn w:val="Norma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tpm-wiki.mos.ru/pages/viewpage.action?pageId=448862007" TargetMode="External"/><Relationship Id="rId3" Type="http://schemas.openxmlformats.org/officeDocument/2006/relationships/hyperlink" Target="https://cloud.dit.mos.ru/apps/ditdocuments/s/wYj6atoLqNyErfJ?fileId=289258614" TargetMode="External"/><Relationship Id="rId4" Type="http://schemas.openxmlformats.org/officeDocument/2006/relationships/hyperlink" Target="https://cloud.dit.mos.ru/apps/ditdocuments/s/wYj6atoLqNyErfJ?fileId=289256339" TargetMode="External"/><Relationship Id="rId5" Type="http://schemas.openxmlformats.org/officeDocument/2006/relationships/hyperlink" Target="https://cloud.dit.mos.ru/apps/ditdocuments/s/wYj6atoLqNyErfJ?fileId=289256339" TargetMode="External"/><Relationship Id="rId6" Type="http://schemas.openxmlformats.org/officeDocument/2006/relationships/hyperlink" Target="https://itpm-wiki.mos.ru/pages/viewpage.action?pageId=533161398" TargetMode="External"/><Relationship Id="rId7" Type="http://schemas.openxmlformats.org/officeDocument/2006/relationships/hyperlink" Target="https://itpm-wiki.mos.ru/pages/viewpage.action?pageId=487496894" TargetMode="External"/><Relationship Id="rId8" Type="http://schemas.openxmlformats.org/officeDocument/2006/relationships/hyperlink" Target="https://itpm-wiki.mos.ru/pages/viewpage.action?pageId=487496822" TargetMode="External"/><Relationship Id="rId9" Type="http://schemas.openxmlformats.org/officeDocument/2006/relationships/hyperlink" Target="https://itpm-wiki.mos.ru/pages/viewpage.action?pageId=487497467" TargetMode="External"/><Relationship Id="rId10" Type="http://schemas.openxmlformats.org/officeDocument/2006/relationships/hyperlink" Target="https://itpm-wiki.mos.ru/pages/viewpage.action?pageId=487496895" TargetMode="External"/><Relationship Id="rId11" Type="http://schemas.openxmlformats.org/officeDocument/2006/relationships/hyperlink" Target="https://itpm-wiki.mos.ru/pages/viewpage.action?pageId=487497481" TargetMode="External"/><Relationship Id="rId12" Type="http://schemas.openxmlformats.org/officeDocument/2006/relationships/hyperlink" Target="https://itpm-wiki.mos.ru/pages/viewpage.action?pageId=487496896" TargetMode="External"/><Relationship Id="rId13" Type="http://schemas.openxmlformats.org/officeDocument/2006/relationships/hyperlink" Target="https://itpm-wiki.mos.ru/pages/viewpage.action?pageId=487497491" TargetMode="External"/><Relationship Id="rId14" Type="http://schemas.openxmlformats.org/officeDocument/2006/relationships/hyperlink" Target="https://itpm-wiki.mos.ru/pages/viewpage.action?pageId=487496846" TargetMode="External"/><Relationship Id="rId15" Type="http://schemas.openxmlformats.org/officeDocument/2006/relationships/hyperlink" Target="https://itpm-wiki.mos.ru/pages/viewpage.action?pageId=487497481" TargetMode="External"/><Relationship Id="rId16" Type="http://schemas.openxmlformats.org/officeDocument/2006/relationships/hyperlink" Target="https://itpm-wiki.mos.ru/pages/viewpage.action?pageId=487496896" TargetMode="Externa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Application>LibreOffice/7.6.4.1$Windows_X86_64 LibreOffice_project/e19e193f88cd6c0525a17fb7a176ed8e6a3e2aa1</Application>
  <AppVersion>15.0000</AppVersion>
  <Pages>1</Pages>
  <Words>1930</Words>
  <Characters>12252</Characters>
  <CharactersWithSpaces>13845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2025-12-29T05:48:00Z</dcterms:created>
  <dc:creator>Гончар Ксения Викторовна</dc:creator>
  <dc:description/>
  <dc:language>ru-RU</dc:language>
  <cp:lastModifiedBy/>
  <dcterms:modified xsi:type="dcterms:W3CDTF">2026-01-20T15:31:28Z</dcterms:modified>
  <cp:revision>21</cp:revision>
  <dc:subject/>
  <dc:title>Шаблон страницы судебного процесса As Is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