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49"/>
        <w:rPr>
          <w:rFonts w:eastAsia="Times New Roman"/>
        </w:rPr>
      </w:pPr>
      <w:r>
        <w:rPr>
          <w:rFonts w:eastAsia="Times New Roman"/>
        </w:rPr>
        <w:t>ТБП-6</w:t>
      </w:r>
      <w:r>
        <w:rPr>
          <w:rFonts w:eastAsia="Times New Roman"/>
          <w:lang w:val="en-US"/>
        </w:rPr>
        <w:t>3</w:t>
      </w:r>
      <w:r>
        <w:rPr>
          <w:rFonts w:eastAsia="Times New Roman"/>
        </w:rPr>
        <w:t xml:space="preserve">: </w:t>
      </w:r>
      <w:r>
        <w:rPr>
          <w:rFonts w:eastAsia="Times New Roman"/>
        </w:rPr>
        <w:t>Рассмотреть вопрос о приостановлении</w:t>
      </w:r>
    </w:p>
    <w:p>
      <w:pPr>
        <w:pStyle w:val="Heading2"/>
        <w:spacing w:before="49" w:after="49"/>
        <w:rPr>
          <w:rFonts w:eastAsia="Times New Roman"/>
        </w:rPr>
      </w:pPr>
      <w:r>
        <w:rPr>
          <w:rFonts w:eastAsia="Times New Roman"/>
        </w:rPr>
        <w:t>1. Интервью </w:t>
      </w:r>
    </w:p>
    <w:p>
      <w:pPr>
        <w:pStyle w:val="NormalWeb"/>
        <w:spacing w:before="49" w:after="49"/>
        <w:rPr/>
      </w:pPr>
      <w:r>
        <w:rPr/>
        <w:t xml:space="preserve">Информация содержится в интервью: </w:t>
      </w:r>
      <w:hyperlink r:id="rId2">
        <w:r>
          <w:rPr>
            <w:rStyle w:val="Hyperlink"/>
          </w:rPr>
          <w:t>https://itpm-wiki.mos.ru/pages/viewpage.action?pageId=448862007</w:t>
        </w:r>
      </w:hyperlink>
    </w:p>
    <w:p>
      <w:pPr>
        <w:pStyle w:val="Heading2"/>
        <w:spacing w:before="49" w:after="49"/>
        <w:rPr>
          <w:rFonts w:eastAsia="Times New Roman"/>
        </w:rPr>
      </w:pPr>
      <w:r>
        <w:rPr>
          <w:rFonts w:eastAsia="Times New Roman"/>
        </w:rPr>
        <w:t>2. Перечень регламентирующих НПА</w:t>
      </w:r>
    </w:p>
    <w:tbl>
      <w:tblPr>
        <w:tblW w:w="9324" w:type="dxa"/>
        <w:jc w:val="left"/>
        <w:tblInd w:w="27" w:type="dxa"/>
        <w:tblLayout w:type="fixed"/>
        <w:tblCellMar>
          <w:top w:w="75" w:type="dxa"/>
          <w:left w:w="75" w:type="dxa"/>
          <w:bottom w:w="75" w:type="dxa"/>
          <w:right w:w="75" w:type="dxa"/>
        </w:tblCellMar>
        <w:tblLook w:firstRow="1" w:noVBand="1" w:lastRow="0" w:firstColumn="1" w:lastColumn="0" w:noHBand="0" w:val="04a0"/>
      </w:tblPr>
      <w:tblGrid>
        <w:gridCol w:w="9324"/>
      </w:tblGrid>
      <w:tr>
        <w:trPr>
          <w:tblHeader w:val="true"/>
          <w:cantSplit w:val="true"/>
        </w:trPr>
        <w:tc>
          <w:tcPr>
            <w:tcW w:w="932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Название НПА с реквизитами</w:t>
            </w:r>
          </w:p>
        </w:tc>
      </w:tr>
      <w:tr>
        <w:trPr>
          <w:cantSplit w:val="true"/>
        </w:trPr>
        <w:tc>
          <w:tcPr>
            <w:tcW w:w="932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"Арбитражный процессуальный кодекс Российской Федерации" от 24.07.2002 N 95-ФЗ (ред. от 01.04.2025)</w:t>
            </w:r>
          </w:p>
        </w:tc>
      </w:tr>
      <w:tr>
        <w:trPr>
          <w:cantSplit w:val="true"/>
        </w:trPr>
        <w:tc>
          <w:tcPr>
            <w:tcW w:w="9324"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rPr>
                <w:rFonts w:eastAsia="Times New Roman"/>
              </w:rPr>
            </w:pPr>
            <w:r>
              <w:rPr>
                <w:rFonts w:eastAsia="Times New Roman"/>
              </w:rPr>
              <w:t>Постановление Пленума ВАС РФ от 25.12.2013 N 100 (ред. от 11.07.2014) "Об утверждении Инструкции по делопроизводству в арбитражных судах Российской Федерации (первой, апелляционной и кассационной инстанций)"</w:t>
            </w:r>
          </w:p>
        </w:tc>
      </w:tr>
      <w:tr>
        <w:trPr>
          <w:cantSplit w:val="true"/>
        </w:trPr>
        <w:tc>
          <w:tcPr>
            <w:tcW w:w="9324" w:type="dxa"/>
            <w:tcBorders>
              <w:top w:val="single" w:sz="6" w:space="0" w:color="000000"/>
              <w:left w:val="single" w:sz="6" w:space="0" w:color="000000"/>
              <w:bottom w:val="single" w:sz="6" w:space="0" w:color="000000"/>
              <w:right w:val="single" w:sz="6" w:space="0" w:color="000000"/>
            </w:tcBorders>
            <w:vAlign w:val="center"/>
          </w:tcPr>
          <w:p>
            <w:pPr>
              <w:pStyle w:val="BodyText"/>
              <w:tabs>
                <w:tab w:val="clear" w:pos="708"/>
                <w:tab w:val="left" w:pos="709" w:leader="none"/>
              </w:tabs>
              <w:bidi w:val="0"/>
              <w:spacing w:before="0" w:after="140"/>
              <w:ind w:hanging="0" w:left="709"/>
              <w:jc w:val="left"/>
              <w:rPr/>
            </w:pPr>
            <w:r>
              <w:rPr>
                <w:rFonts w:eastAsia="Times New Roman"/>
              </w:rPr>
              <w:t>Постановление Пленума Верховного Суда РФ от 04.06.2024 N 12 "О подготовке дела к судебному разбирательству в арбитражном суде"</w:t>
            </w:r>
          </w:p>
        </w:tc>
      </w:tr>
      <w:tr>
        <w:trPr>
          <w:cantSplit w:val="true"/>
        </w:trPr>
        <w:tc>
          <w:tcPr>
            <w:tcW w:w="9324" w:type="dxa"/>
            <w:tcBorders>
              <w:top w:val="single" w:sz="6" w:space="0" w:color="000000"/>
              <w:left w:val="single" w:sz="6" w:space="0" w:color="000000"/>
              <w:bottom w:val="single" w:sz="6" w:space="0" w:color="000000"/>
              <w:right w:val="single" w:sz="6" w:space="0" w:color="000000"/>
            </w:tcBorders>
            <w:vAlign w:val="center"/>
          </w:tcPr>
          <w:p>
            <w:pPr>
              <w:pStyle w:val="BodyText"/>
              <w:tabs>
                <w:tab w:val="clear" w:pos="708"/>
                <w:tab w:val="left" w:pos="709" w:leader="none"/>
              </w:tabs>
              <w:bidi w:val="0"/>
              <w:spacing w:before="0" w:after="140"/>
              <w:ind w:hanging="0" w:left="709"/>
              <w:jc w:val="left"/>
              <w:rPr/>
            </w:pPr>
            <w:r>
              <w:rPr>
                <w:rFonts w:eastAsia="Times New Roman"/>
              </w:rPr>
              <w:t>Постановление Пленума Верховного Суда РФ от 23.12.2021 N 46 "О применении Арбитражного процессуального кодекса Российской Федерации при рассмотрении дел в суде первой инстанции"</w:t>
            </w:r>
          </w:p>
        </w:tc>
      </w:tr>
    </w:tbl>
    <w:p>
      <w:pPr>
        <w:pStyle w:val="Heading2"/>
        <w:spacing w:before="49" w:after="49"/>
        <w:rPr>
          <w:rFonts w:eastAsia="Times New Roman"/>
        </w:rPr>
      </w:pPr>
      <w:r>
        <w:rPr>
          <w:rFonts w:eastAsia="Times New Roman"/>
        </w:rPr>
        <w:t>3. Акторы </w:t>
      </w:r>
    </w:p>
    <w:tbl>
      <w:tblPr>
        <w:tblW w:w="14460" w:type="dxa"/>
        <w:jc w:val="left"/>
        <w:tblInd w:w="0" w:type="dxa"/>
        <w:tblLayout w:type="fixed"/>
        <w:tblCellMar>
          <w:top w:w="75" w:type="dxa"/>
          <w:left w:w="75" w:type="dxa"/>
          <w:bottom w:w="75" w:type="dxa"/>
          <w:right w:w="75" w:type="dxa"/>
        </w:tblCellMar>
        <w:tblLook w:firstRow="1" w:noVBand="1" w:lastRow="0" w:firstColumn="1" w:lastColumn="0" w:noHBand="0" w:val="04a0"/>
      </w:tblPr>
      <w:tblGrid>
        <w:gridCol w:w="3399"/>
        <w:gridCol w:w="11060"/>
      </w:tblGrid>
      <w:tr>
        <w:trPr/>
        <w:tc>
          <w:tcPr>
            <w:tcW w:w="339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b/>
                <w:bCs/>
              </w:rPr>
            </w:pPr>
            <w:r>
              <w:rPr>
                <w:b/>
                <w:bCs/>
              </w:rPr>
              <w:t>Бизнес-роль</w:t>
            </w:r>
          </w:p>
        </w:tc>
        <w:tc>
          <w:tcPr>
            <w:tcW w:w="1106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b/>
                <w:bCs/>
              </w:rPr>
            </w:pPr>
            <w:r>
              <w:rPr>
                <w:b/>
                <w:bCs/>
              </w:rPr>
              <w:t>Выполняемые действия/функция</w:t>
            </w:r>
          </w:p>
        </w:tc>
      </w:tr>
      <w:tr>
        <w:trPr>
          <w:cantSplit w:val="true"/>
        </w:trPr>
        <w:tc>
          <w:tcPr>
            <w:tcW w:w="3399" w:type="dxa"/>
            <w:tcBorders>
              <w:top w:val="single" w:sz="6" w:space="0" w:color="000000"/>
              <w:left w:val="single" w:sz="6" w:space="0" w:color="000000"/>
              <w:bottom w:val="single" w:sz="6" w:space="0" w:color="000000"/>
              <w:right w:val="single" w:sz="6" w:space="0" w:color="000000"/>
            </w:tcBorders>
            <w:vAlign w:val="center"/>
          </w:tcPr>
          <w:p>
            <w:pPr>
              <w:pStyle w:val="Western"/>
              <w:spacing w:before="0" w:after="0"/>
              <w:rPr/>
            </w:pPr>
            <w:r>
              <w:rPr/>
              <w:t>Судья</w:t>
            </w:r>
          </w:p>
        </w:tc>
        <w:tc>
          <w:tcPr>
            <w:tcW w:w="11060" w:type="dxa"/>
            <w:tcBorders>
              <w:top w:val="single" w:sz="6" w:space="0" w:color="000000"/>
              <w:left w:val="single" w:sz="6" w:space="0" w:color="000000"/>
              <w:bottom w:val="single" w:sz="6" w:space="0" w:color="000000"/>
              <w:right w:val="single" w:sz="6" w:space="0" w:color="000000"/>
            </w:tcBorders>
            <w:vAlign w:val="center"/>
          </w:tcPr>
          <w:p>
            <w:pPr>
              <w:pStyle w:val="Western"/>
              <w:spacing w:before="0" w:after="0"/>
              <w:rPr/>
            </w:pPr>
            <w:r>
              <w:rPr/>
              <w:t>Проверка оснований для приостановления производства, оценка доказательств, принятие решений о приостановлении/возобновлении производства, вынесение судебных актов, мониторинг устранения обстоятельств</w:t>
            </w:r>
          </w:p>
        </w:tc>
      </w:tr>
      <w:tr>
        <w:trPr>
          <w:trHeight w:val="20" w:hRule="atLeast"/>
          <w:cantSplit w:val="true"/>
        </w:trPr>
        <w:tc>
          <w:tcPr>
            <w:tcW w:w="3399" w:type="dxa"/>
            <w:tcBorders>
              <w:top w:val="single" w:sz="6" w:space="0" w:color="000000"/>
              <w:left w:val="single" w:sz="6" w:space="0" w:color="000000"/>
              <w:bottom w:val="single" w:sz="6" w:space="0" w:color="000000"/>
              <w:right w:val="single" w:sz="6" w:space="0" w:color="000000"/>
            </w:tcBorders>
            <w:vAlign w:val="center"/>
          </w:tcPr>
          <w:p>
            <w:pPr>
              <w:pStyle w:val="Western"/>
              <w:spacing w:before="0" w:after="0"/>
              <w:rPr/>
            </w:pPr>
            <w:r>
              <w:rPr/>
              <w:t>Канцелярия</w:t>
            </w:r>
          </w:p>
        </w:tc>
        <w:tc>
          <w:tcPr>
            <w:tcW w:w="11060" w:type="dxa"/>
            <w:tcBorders>
              <w:top w:val="single" w:sz="6" w:space="0" w:color="000000"/>
              <w:left w:val="single" w:sz="6" w:space="0" w:color="000000"/>
              <w:bottom w:val="single" w:sz="6" w:space="0" w:color="000000"/>
              <w:right w:val="single" w:sz="6" w:space="0" w:color="000000"/>
            </w:tcBorders>
            <w:vAlign w:val="center"/>
          </w:tcPr>
          <w:p>
            <w:pPr>
              <w:pStyle w:val="Western"/>
              <w:spacing w:before="0" w:after="0"/>
              <w:rPr/>
            </w:pPr>
            <w:r>
              <w:rPr/>
              <w:t>Прием и регистрация документов, передача дел и документов судье, направление определений лицам, участвующим в деле</w:t>
            </w:r>
          </w:p>
        </w:tc>
      </w:tr>
      <w:tr>
        <w:trPr>
          <w:trHeight w:val="20" w:hRule="atLeast"/>
          <w:cantSplit w:val="true"/>
        </w:trPr>
        <w:tc>
          <w:tcPr>
            <w:tcW w:w="3399" w:type="dxa"/>
            <w:tcBorders>
              <w:left w:val="single" w:sz="6" w:space="0" w:color="000000"/>
              <w:bottom w:val="single" w:sz="6" w:space="0" w:color="000000"/>
              <w:right w:val="single" w:sz="6" w:space="0" w:color="000000"/>
            </w:tcBorders>
            <w:vAlign w:val="center"/>
          </w:tcPr>
          <w:p>
            <w:pPr>
              <w:pStyle w:val="Western"/>
              <w:spacing w:before="0" w:after="0"/>
              <w:rPr/>
            </w:pPr>
            <w:r>
              <w:rPr/>
              <w:t>Система</w:t>
            </w:r>
          </w:p>
        </w:tc>
        <w:tc>
          <w:tcPr>
            <w:tcW w:w="11060" w:type="dxa"/>
            <w:tcBorders>
              <w:left w:val="single" w:sz="6" w:space="0" w:color="000000"/>
              <w:bottom w:val="single" w:sz="6" w:space="0" w:color="000000"/>
              <w:right w:val="single" w:sz="6" w:space="0" w:color="000000"/>
            </w:tcBorders>
            <w:vAlign w:val="center"/>
          </w:tcPr>
          <w:p>
            <w:pPr>
              <w:pStyle w:val="Western"/>
              <w:spacing w:before="0" w:after="0"/>
              <w:rPr/>
            </w:pPr>
            <w:r>
              <w:rPr/>
              <w:t>Приостановление и возобновление течения процессуальных сроков (непосредственно в ИС)</w:t>
            </w:r>
          </w:p>
        </w:tc>
      </w:tr>
    </w:tbl>
    <w:p>
      <w:pPr>
        <w:pStyle w:val="NormalWeb"/>
        <w:spacing w:before="49" w:after="49"/>
        <w:rPr/>
      </w:pPr>
      <w:r>
        <w:rPr/>
      </w:r>
    </w:p>
    <w:p>
      <w:pPr>
        <w:pStyle w:val="Heading2"/>
        <w:spacing w:before="49" w:after="49"/>
        <w:rPr>
          <w:rFonts w:eastAsia="Times New Roman"/>
        </w:rPr>
      </w:pPr>
      <w:r>
        <w:rPr>
          <w:rFonts w:eastAsia="Times New Roman"/>
        </w:rPr>
        <w:t>4. Процессуальные документы и их шаблоны (образцы)</w:t>
      </w:r>
    </w:p>
    <w:p>
      <w:pPr>
        <w:pStyle w:val="Heading3"/>
        <w:spacing w:before="49" w:after="49"/>
        <w:rPr>
          <w:rFonts w:eastAsia="Times New Roman"/>
        </w:rPr>
      </w:pPr>
      <w:r>
        <w:rPr>
          <w:rFonts w:eastAsia="Times New Roman"/>
        </w:rPr>
        <w:t>4.1 Документы рассмотрения (документы входящие от участников процесса</w:t>
      </w:r>
    </w:p>
    <w:tbl>
      <w:tblPr>
        <w:tblW w:w="39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389"/>
        <w:gridCol w:w="1689"/>
        <w:gridCol w:w="2216"/>
        <w:gridCol w:w="1423"/>
        <w:gridCol w:w="1583"/>
      </w:tblGrid>
      <w:tr>
        <w:trPr>
          <w:tblHeader w:val="true"/>
          <w:cantSplit w:val="true"/>
        </w:trPr>
        <w:tc>
          <w:tcPr>
            <w:tcW w:w="38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w:t>
            </w:r>
          </w:p>
        </w:tc>
        <w:tc>
          <w:tcPr>
            <w:tcW w:w="168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Вид документа</w:t>
            </w:r>
          </w:p>
        </w:tc>
        <w:tc>
          <w:tcPr>
            <w:tcW w:w="22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Наименование документа</w:t>
            </w:r>
          </w:p>
        </w:tc>
        <w:tc>
          <w:tcPr>
            <w:tcW w:w="14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Форма документа</w:t>
            </w:r>
          </w:p>
        </w:tc>
        <w:tc>
          <w:tcPr>
            <w:tcW w:w="15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Образец</w:t>
            </w:r>
          </w:p>
        </w:tc>
      </w:tr>
      <w:tr>
        <w:trPr>
          <w:cantSplit w:val="true"/>
        </w:trPr>
        <w:tc>
          <w:tcPr>
            <w:tcW w:w="38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lang w:val="en-US"/>
              </w:rPr>
            </w:pPr>
            <w:r>
              <w:rPr>
                <w:lang w:val="en-US"/>
              </w:rPr>
              <w:t>1</w:t>
            </w:r>
          </w:p>
        </w:tc>
        <w:tc>
          <w:tcPr>
            <w:tcW w:w="1689" w:type="dxa"/>
            <w:tcBorders>
              <w:top w:val="single" w:sz="6" w:space="0" w:color="000000"/>
              <w:left w:val="single" w:sz="6" w:space="0" w:color="000000"/>
              <w:bottom w:val="single" w:sz="6" w:space="0" w:color="000000"/>
              <w:right w:val="single" w:sz="6" w:space="0" w:color="000000"/>
            </w:tcBorders>
            <w:vAlign w:val="center"/>
          </w:tcPr>
          <w:p>
            <w:pPr>
              <w:pStyle w:val="Western"/>
              <w:spacing w:before="0" w:after="0"/>
              <w:rPr/>
            </w:pPr>
            <w:r>
              <w:rPr/>
              <w:t>Ходатайство</w:t>
            </w:r>
          </w:p>
        </w:tc>
        <w:tc>
          <w:tcPr>
            <w:tcW w:w="2216" w:type="dxa"/>
            <w:tcBorders>
              <w:top w:val="single" w:sz="6" w:space="0" w:color="000000"/>
              <w:left w:val="single" w:sz="6" w:space="0" w:color="000000"/>
              <w:bottom w:val="single" w:sz="6" w:space="0" w:color="000000"/>
              <w:right w:val="single" w:sz="6" w:space="0" w:color="000000"/>
            </w:tcBorders>
            <w:vAlign w:val="center"/>
          </w:tcPr>
          <w:p>
            <w:pPr>
              <w:pStyle w:val="Western"/>
              <w:spacing w:before="0" w:after="0"/>
              <w:rPr/>
            </w:pPr>
            <w:r>
              <w:rPr/>
              <w:t>Ходатайство о приостановлении производства по делу</w:t>
            </w:r>
          </w:p>
        </w:tc>
        <w:tc>
          <w:tcPr>
            <w:tcW w:w="1423" w:type="dxa"/>
            <w:tcBorders>
              <w:top w:val="single" w:sz="6" w:space="0" w:color="000000"/>
              <w:left w:val="single" w:sz="6" w:space="0" w:color="000000"/>
              <w:bottom w:val="single" w:sz="6" w:space="0" w:color="000000"/>
              <w:right w:val="single" w:sz="6" w:space="0" w:color="000000"/>
            </w:tcBorders>
            <w:vAlign w:val="center"/>
          </w:tcPr>
          <w:p>
            <w:pPr>
              <w:pStyle w:val="Western"/>
              <w:spacing w:before="0" w:after="0"/>
              <w:rPr/>
            </w:pPr>
            <w:r>
              <w:rPr/>
              <w:t>Письменная/электронная</w:t>
            </w:r>
          </w:p>
        </w:tc>
        <w:tc>
          <w:tcPr>
            <w:tcW w:w="1583" w:type="dxa"/>
            <w:tcBorders>
              <w:top w:val="single" w:sz="6" w:space="0" w:color="000000"/>
              <w:left w:val="single" w:sz="6" w:space="0" w:color="000000"/>
              <w:bottom w:val="single" w:sz="6" w:space="0" w:color="000000"/>
              <w:right w:val="single" w:sz="6" w:space="0" w:color="000000"/>
            </w:tcBorders>
          </w:tcPr>
          <w:p>
            <w:pPr>
              <w:pStyle w:val="NormalWeb"/>
              <w:spacing w:before="0" w:after="0"/>
              <w:rPr/>
            </w:pPr>
            <w:r>
              <w:rPr/>
              <w:t>Не получен в ходе обследования</w:t>
            </w:r>
          </w:p>
        </w:tc>
      </w:tr>
      <w:tr>
        <w:trPr>
          <w:cantSplit w:val="true"/>
        </w:trPr>
        <w:tc>
          <w:tcPr>
            <w:tcW w:w="389" w:type="dxa"/>
            <w:tcBorders>
              <w:left w:val="single" w:sz="6" w:space="0" w:color="000000"/>
              <w:bottom w:val="single" w:sz="6" w:space="0" w:color="000000"/>
              <w:right w:val="single" w:sz="6" w:space="0" w:color="000000"/>
            </w:tcBorders>
            <w:vAlign w:val="center"/>
          </w:tcPr>
          <w:p>
            <w:pPr>
              <w:pStyle w:val="NormalWeb"/>
              <w:spacing w:before="0" w:after="0"/>
              <w:rPr>
                <w:lang w:val="ru-RU"/>
              </w:rPr>
            </w:pPr>
            <w:r>
              <w:rPr>
                <w:lang w:val="ru-RU"/>
              </w:rPr>
              <w:t>2</w:t>
            </w:r>
          </w:p>
        </w:tc>
        <w:tc>
          <w:tcPr>
            <w:tcW w:w="1689" w:type="dxa"/>
            <w:tcBorders>
              <w:left w:val="single" w:sz="6" w:space="0" w:color="000000"/>
              <w:bottom w:val="single" w:sz="6" w:space="0" w:color="000000"/>
              <w:right w:val="single" w:sz="6" w:space="0" w:color="000000"/>
            </w:tcBorders>
            <w:vAlign w:val="center"/>
          </w:tcPr>
          <w:p>
            <w:pPr>
              <w:pStyle w:val="Western"/>
              <w:spacing w:before="0" w:after="0"/>
              <w:rPr/>
            </w:pPr>
            <w:r>
              <w:rPr/>
              <w:t>Ходатайство</w:t>
            </w:r>
          </w:p>
        </w:tc>
        <w:tc>
          <w:tcPr>
            <w:tcW w:w="2216" w:type="dxa"/>
            <w:tcBorders>
              <w:left w:val="single" w:sz="6" w:space="0" w:color="000000"/>
              <w:bottom w:val="single" w:sz="6" w:space="0" w:color="000000"/>
              <w:right w:val="single" w:sz="6" w:space="0" w:color="000000"/>
            </w:tcBorders>
            <w:vAlign w:val="center"/>
          </w:tcPr>
          <w:p>
            <w:pPr>
              <w:pStyle w:val="Western"/>
              <w:spacing w:before="0" w:after="0"/>
              <w:rPr/>
            </w:pPr>
            <w:r>
              <w:rPr/>
              <w:t>Ходатайство о возобновлении производства по делу</w:t>
            </w:r>
          </w:p>
        </w:tc>
        <w:tc>
          <w:tcPr>
            <w:tcW w:w="1423" w:type="dxa"/>
            <w:tcBorders>
              <w:left w:val="single" w:sz="6" w:space="0" w:color="000000"/>
              <w:bottom w:val="single" w:sz="6" w:space="0" w:color="000000"/>
              <w:right w:val="single" w:sz="6" w:space="0" w:color="000000"/>
            </w:tcBorders>
            <w:vAlign w:val="center"/>
          </w:tcPr>
          <w:p>
            <w:pPr>
              <w:pStyle w:val="Western"/>
              <w:spacing w:before="0" w:after="0"/>
              <w:rPr/>
            </w:pPr>
            <w:r>
              <w:rPr/>
              <w:t>Письменная/электронная</w:t>
            </w:r>
          </w:p>
        </w:tc>
        <w:tc>
          <w:tcPr>
            <w:tcW w:w="1583" w:type="dxa"/>
            <w:tcBorders>
              <w:left w:val="single" w:sz="6" w:space="0" w:color="000000"/>
              <w:bottom w:val="single" w:sz="6" w:space="0" w:color="000000"/>
              <w:right w:val="single" w:sz="6" w:space="0" w:color="000000"/>
            </w:tcBorders>
          </w:tcPr>
          <w:p>
            <w:pPr>
              <w:pStyle w:val="NormalWeb"/>
              <w:spacing w:before="0" w:after="0"/>
              <w:rPr/>
            </w:pPr>
            <w:r>
              <w:rPr/>
              <w:t>Не получен в ходе обследования</w:t>
            </w:r>
          </w:p>
        </w:tc>
      </w:tr>
    </w:tbl>
    <w:p>
      <w:pPr>
        <w:pStyle w:val="NormalWeb"/>
        <w:spacing w:before="49" w:after="49"/>
        <w:rPr/>
      </w:pPr>
      <w:r>
        <w:rPr/>
      </w:r>
    </w:p>
    <w:p>
      <w:pPr>
        <w:pStyle w:val="Heading3"/>
        <w:spacing w:before="49" w:after="49"/>
        <w:rPr/>
      </w:pPr>
      <w:r>
        <w:rPr>
          <w:rFonts w:eastAsia="Times New Roman"/>
        </w:rPr>
        <w:t>4.2 Судебные акты</w:t>
      </w:r>
      <w:r>
        <w:rPr/>
        <w:t xml:space="preserve"> </w:t>
      </w:r>
    </w:p>
    <w:p>
      <w:pPr>
        <w:pStyle w:val="Normal"/>
        <w:rPr>
          <w:rFonts w:eastAsia="Times New Roman"/>
        </w:rPr>
      </w:pPr>
      <w:r>
        <w:rPr>
          <w:rFonts w:eastAsia="Times New Roman"/>
        </w:rPr>
      </w:r>
    </w:p>
    <w:tbl>
      <w:tblPr>
        <w:tblW w:w="11640" w:type="dxa"/>
        <w:jc w:val="left"/>
        <w:tblInd w:w="0" w:type="dxa"/>
        <w:tblLayout w:type="fixed"/>
        <w:tblCellMar>
          <w:top w:w="75" w:type="dxa"/>
          <w:left w:w="75" w:type="dxa"/>
          <w:bottom w:w="75" w:type="dxa"/>
          <w:right w:w="75" w:type="dxa"/>
        </w:tblCellMar>
        <w:tblLook w:firstRow="1" w:noVBand="1" w:lastRow="0" w:firstColumn="1" w:lastColumn="0" w:noHBand="0" w:val="04a0"/>
      </w:tblPr>
      <w:tblGrid>
        <w:gridCol w:w="392"/>
        <w:gridCol w:w="1330"/>
        <w:gridCol w:w="1843"/>
        <w:gridCol w:w="3195"/>
        <w:gridCol w:w="1531"/>
        <w:gridCol w:w="3348"/>
      </w:tblGrid>
      <w:tr>
        <w:trPr>
          <w:cantSplit w:val="true"/>
        </w:trPr>
        <w:tc>
          <w:tcPr>
            <w:tcW w:w="39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w:t>
            </w:r>
          </w:p>
        </w:tc>
        <w:tc>
          <w:tcPr>
            <w:tcW w:w="13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Вид документа</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Наименование документа</w:t>
            </w:r>
          </w:p>
        </w:tc>
        <w:tc>
          <w:tcPr>
            <w:tcW w:w="319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Форма (протокольный/отдельный СА)</w:t>
            </w:r>
          </w:p>
        </w:tc>
        <w:tc>
          <w:tcPr>
            <w:tcW w:w="153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Style w:val="Strong"/>
                <w:rFonts w:eastAsia="Times New Roman"/>
              </w:rPr>
              <w:t>Обжалуется (да/нет)</w:t>
            </w:r>
          </w:p>
        </w:tc>
        <w:tc>
          <w:tcPr>
            <w:tcW w:w="3348"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Style w:val="Strong"/>
                <w:rFonts w:eastAsia="Times New Roman"/>
              </w:rPr>
              <w:t>Образец</w:t>
            </w:r>
          </w:p>
        </w:tc>
      </w:tr>
      <w:tr>
        <w:trPr>
          <w:cantSplit w:val="true"/>
        </w:trPr>
        <w:tc>
          <w:tcPr>
            <w:tcW w:w="39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w:t>
            </w:r>
          </w:p>
        </w:tc>
        <w:tc>
          <w:tcPr>
            <w:tcW w:w="1330" w:type="dxa"/>
            <w:tcBorders>
              <w:top w:val="single" w:sz="6" w:space="0" w:color="000000"/>
              <w:left w:val="single" w:sz="6" w:space="0" w:color="000000"/>
              <w:bottom w:val="single" w:sz="6" w:space="0" w:color="000000"/>
              <w:right w:val="single" w:sz="6" w:space="0" w:color="000000"/>
            </w:tcBorders>
            <w:vAlign w:val="center"/>
          </w:tcPr>
          <w:p>
            <w:pPr>
              <w:pStyle w:val="Western"/>
              <w:spacing w:before="0" w:after="0"/>
              <w:rPr/>
            </w:pPr>
            <w:r>
              <w:rPr/>
              <w:t>Определение</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Western"/>
              <w:spacing w:before="0" w:after="0"/>
              <w:rPr/>
            </w:pPr>
            <w:r>
              <w:rPr/>
              <w:t>Определение о приостановлении производства по делу</w:t>
            </w:r>
          </w:p>
        </w:tc>
        <w:tc>
          <w:tcPr>
            <w:tcW w:w="3195" w:type="dxa"/>
            <w:tcBorders>
              <w:top w:val="single" w:sz="6" w:space="0" w:color="000000"/>
              <w:left w:val="single" w:sz="6" w:space="0" w:color="000000"/>
              <w:bottom w:val="single" w:sz="6" w:space="0" w:color="000000"/>
              <w:right w:val="single" w:sz="6" w:space="0" w:color="000000"/>
            </w:tcBorders>
            <w:vAlign w:val="center"/>
          </w:tcPr>
          <w:p>
            <w:pPr>
              <w:pStyle w:val="Western"/>
              <w:spacing w:before="0" w:after="0"/>
              <w:rPr/>
            </w:pPr>
            <w:r>
              <w:rPr/>
              <w:t>Отдельный СА</w:t>
            </w:r>
          </w:p>
        </w:tc>
        <w:tc>
          <w:tcPr>
            <w:tcW w:w="1531" w:type="dxa"/>
            <w:tcBorders>
              <w:top w:val="single" w:sz="6" w:space="0" w:color="000000"/>
              <w:left w:val="single" w:sz="6" w:space="0" w:color="000000"/>
              <w:bottom w:val="single" w:sz="6" w:space="0" w:color="000000"/>
              <w:right w:val="single" w:sz="6" w:space="0" w:color="000000"/>
            </w:tcBorders>
            <w:vAlign w:val="center"/>
          </w:tcPr>
          <w:p>
            <w:pPr>
              <w:pStyle w:val="Western"/>
              <w:spacing w:before="0" w:after="0"/>
              <w:rPr/>
            </w:pPr>
            <w:r>
              <w:rPr/>
              <w:t>Да</w:t>
            </w:r>
          </w:p>
        </w:tc>
        <w:tc>
          <w:tcPr>
            <w:tcW w:w="334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Не получен в ходе обследования</w:t>
            </w:r>
          </w:p>
        </w:tc>
      </w:tr>
      <w:tr>
        <w:trPr>
          <w:cantSplit w:val="true"/>
        </w:trPr>
        <w:tc>
          <w:tcPr>
            <w:tcW w:w="392" w:type="dxa"/>
            <w:tcBorders>
              <w:left w:val="single" w:sz="6" w:space="0" w:color="000000"/>
              <w:bottom w:val="single" w:sz="6" w:space="0" w:color="000000"/>
              <w:right w:val="single" w:sz="6" w:space="0" w:color="000000"/>
            </w:tcBorders>
            <w:vAlign w:val="center"/>
          </w:tcPr>
          <w:p>
            <w:pPr>
              <w:pStyle w:val="NormalWeb"/>
              <w:spacing w:before="0" w:after="0"/>
              <w:rPr/>
            </w:pPr>
            <w:r>
              <w:rPr/>
              <w:t>2</w:t>
            </w:r>
          </w:p>
        </w:tc>
        <w:tc>
          <w:tcPr>
            <w:tcW w:w="1330" w:type="dxa"/>
            <w:tcBorders>
              <w:left w:val="single" w:sz="6" w:space="0" w:color="000000"/>
              <w:bottom w:val="single" w:sz="6" w:space="0" w:color="000000"/>
              <w:right w:val="single" w:sz="6" w:space="0" w:color="000000"/>
            </w:tcBorders>
            <w:vAlign w:val="center"/>
          </w:tcPr>
          <w:p>
            <w:pPr>
              <w:pStyle w:val="Western"/>
              <w:spacing w:before="0" w:after="0"/>
              <w:rPr/>
            </w:pPr>
            <w:r>
              <w:rPr/>
              <w:t>Определение</w:t>
            </w:r>
          </w:p>
        </w:tc>
        <w:tc>
          <w:tcPr>
            <w:tcW w:w="1843" w:type="dxa"/>
            <w:tcBorders>
              <w:left w:val="single" w:sz="6" w:space="0" w:color="000000"/>
              <w:bottom w:val="single" w:sz="6" w:space="0" w:color="000000"/>
              <w:right w:val="single" w:sz="6" w:space="0" w:color="000000"/>
            </w:tcBorders>
            <w:vAlign w:val="center"/>
          </w:tcPr>
          <w:p>
            <w:pPr>
              <w:pStyle w:val="Western"/>
              <w:spacing w:before="0" w:after="0"/>
              <w:rPr/>
            </w:pPr>
            <w:r>
              <w:rPr/>
              <w:t>Определение об отказе в приостановлении производства по делу</w:t>
            </w:r>
          </w:p>
        </w:tc>
        <w:tc>
          <w:tcPr>
            <w:tcW w:w="3195" w:type="dxa"/>
            <w:tcBorders>
              <w:left w:val="single" w:sz="6" w:space="0" w:color="000000"/>
              <w:bottom w:val="single" w:sz="6" w:space="0" w:color="000000"/>
              <w:right w:val="single" w:sz="6" w:space="0" w:color="000000"/>
            </w:tcBorders>
            <w:vAlign w:val="center"/>
          </w:tcPr>
          <w:p>
            <w:pPr>
              <w:pStyle w:val="Western"/>
              <w:spacing w:before="0" w:after="0"/>
              <w:rPr/>
            </w:pPr>
            <w:r>
              <w:rPr/>
              <w:t>Отдельный СА</w:t>
            </w:r>
          </w:p>
        </w:tc>
        <w:tc>
          <w:tcPr>
            <w:tcW w:w="1531" w:type="dxa"/>
            <w:tcBorders>
              <w:left w:val="single" w:sz="6" w:space="0" w:color="000000"/>
              <w:bottom w:val="single" w:sz="6" w:space="0" w:color="000000"/>
              <w:right w:val="single" w:sz="6" w:space="0" w:color="000000"/>
            </w:tcBorders>
            <w:vAlign w:val="center"/>
          </w:tcPr>
          <w:p>
            <w:pPr>
              <w:pStyle w:val="Western"/>
              <w:spacing w:before="0" w:after="0"/>
              <w:rPr/>
            </w:pPr>
            <w:r>
              <w:rPr/>
              <w:t>Да</w:t>
            </w:r>
          </w:p>
        </w:tc>
        <w:tc>
          <w:tcPr>
            <w:tcW w:w="3348" w:type="dxa"/>
            <w:tcBorders>
              <w:left w:val="single" w:sz="6" w:space="0" w:color="000000"/>
              <w:bottom w:val="single" w:sz="6" w:space="0" w:color="000000"/>
              <w:right w:val="single" w:sz="6" w:space="0" w:color="000000"/>
            </w:tcBorders>
            <w:vAlign w:val="center"/>
          </w:tcPr>
          <w:p>
            <w:pPr>
              <w:pStyle w:val="NormalWeb"/>
              <w:spacing w:before="0" w:after="0"/>
              <w:rPr/>
            </w:pPr>
            <w:r>
              <w:rPr/>
              <w:t>Не получен в ходе обследования</w:t>
            </w:r>
          </w:p>
        </w:tc>
      </w:tr>
      <w:tr>
        <w:trPr>
          <w:cantSplit w:val="true"/>
        </w:trPr>
        <w:tc>
          <w:tcPr>
            <w:tcW w:w="392" w:type="dxa"/>
            <w:tcBorders>
              <w:left w:val="single" w:sz="6" w:space="0" w:color="000000"/>
              <w:bottom w:val="single" w:sz="6" w:space="0" w:color="000000"/>
              <w:right w:val="single" w:sz="6" w:space="0" w:color="000000"/>
            </w:tcBorders>
            <w:vAlign w:val="center"/>
          </w:tcPr>
          <w:p>
            <w:pPr>
              <w:pStyle w:val="NormalWeb"/>
              <w:spacing w:before="0" w:after="0"/>
              <w:rPr/>
            </w:pPr>
            <w:r>
              <w:rPr/>
              <w:t>3</w:t>
            </w:r>
          </w:p>
        </w:tc>
        <w:tc>
          <w:tcPr>
            <w:tcW w:w="1330" w:type="dxa"/>
            <w:tcBorders>
              <w:left w:val="single" w:sz="6" w:space="0" w:color="000000"/>
              <w:bottom w:val="single" w:sz="6" w:space="0" w:color="000000"/>
              <w:right w:val="single" w:sz="6" w:space="0" w:color="000000"/>
            </w:tcBorders>
            <w:vAlign w:val="center"/>
          </w:tcPr>
          <w:p>
            <w:pPr>
              <w:pStyle w:val="Western"/>
              <w:spacing w:before="0" w:after="0"/>
              <w:rPr/>
            </w:pPr>
            <w:r>
              <w:rPr/>
              <w:t>Определение</w:t>
            </w:r>
          </w:p>
        </w:tc>
        <w:tc>
          <w:tcPr>
            <w:tcW w:w="1843" w:type="dxa"/>
            <w:tcBorders>
              <w:left w:val="single" w:sz="6" w:space="0" w:color="000000"/>
              <w:bottom w:val="single" w:sz="6" w:space="0" w:color="000000"/>
              <w:right w:val="single" w:sz="6" w:space="0" w:color="000000"/>
            </w:tcBorders>
            <w:vAlign w:val="center"/>
          </w:tcPr>
          <w:p>
            <w:pPr>
              <w:pStyle w:val="Western"/>
              <w:spacing w:before="0" w:after="0"/>
              <w:rPr/>
            </w:pPr>
            <w:r>
              <w:rPr/>
              <w:t>Определение о возобновлении производства по делу</w:t>
            </w:r>
          </w:p>
        </w:tc>
        <w:tc>
          <w:tcPr>
            <w:tcW w:w="3195" w:type="dxa"/>
            <w:tcBorders>
              <w:left w:val="single" w:sz="6" w:space="0" w:color="000000"/>
              <w:bottom w:val="single" w:sz="6" w:space="0" w:color="000000"/>
              <w:right w:val="single" w:sz="6" w:space="0" w:color="000000"/>
            </w:tcBorders>
            <w:vAlign w:val="center"/>
          </w:tcPr>
          <w:p>
            <w:pPr>
              <w:pStyle w:val="Western"/>
              <w:spacing w:before="0" w:after="0"/>
              <w:rPr/>
            </w:pPr>
            <w:r>
              <w:rPr/>
              <w:t>Отдельный СА</w:t>
            </w:r>
          </w:p>
        </w:tc>
        <w:tc>
          <w:tcPr>
            <w:tcW w:w="1531" w:type="dxa"/>
            <w:tcBorders>
              <w:left w:val="single" w:sz="6" w:space="0" w:color="000000"/>
              <w:bottom w:val="single" w:sz="6" w:space="0" w:color="000000"/>
              <w:right w:val="single" w:sz="6" w:space="0" w:color="000000"/>
            </w:tcBorders>
            <w:vAlign w:val="center"/>
          </w:tcPr>
          <w:p>
            <w:pPr>
              <w:pStyle w:val="Western"/>
              <w:spacing w:before="0" w:after="0"/>
              <w:rPr/>
            </w:pPr>
            <w:r>
              <w:rPr/>
              <w:t>Да</w:t>
            </w:r>
          </w:p>
        </w:tc>
        <w:tc>
          <w:tcPr>
            <w:tcW w:w="3348" w:type="dxa"/>
            <w:tcBorders>
              <w:left w:val="single" w:sz="6" w:space="0" w:color="000000"/>
              <w:bottom w:val="single" w:sz="6" w:space="0" w:color="000000"/>
              <w:right w:val="single" w:sz="6" w:space="0" w:color="000000"/>
            </w:tcBorders>
            <w:vAlign w:val="center"/>
          </w:tcPr>
          <w:p>
            <w:pPr>
              <w:pStyle w:val="NormalWeb"/>
              <w:spacing w:before="0" w:after="0"/>
              <w:rPr/>
            </w:pPr>
            <w:hyperlink r:id="rId3">
              <w:r>
                <w:rPr>
                  <w:rStyle w:val="Hyperlink"/>
                </w:rPr>
                <w:t>Образец</w:t>
              </w:r>
            </w:hyperlink>
          </w:p>
        </w:tc>
      </w:tr>
      <w:tr>
        <w:trPr>
          <w:cantSplit w:val="true"/>
        </w:trPr>
        <w:tc>
          <w:tcPr>
            <w:tcW w:w="392" w:type="dxa"/>
            <w:tcBorders>
              <w:left w:val="single" w:sz="6" w:space="0" w:color="000000"/>
              <w:bottom w:val="single" w:sz="6" w:space="0" w:color="000000"/>
              <w:right w:val="single" w:sz="6" w:space="0" w:color="000000"/>
            </w:tcBorders>
            <w:vAlign w:val="center"/>
          </w:tcPr>
          <w:p>
            <w:pPr>
              <w:pStyle w:val="NormalWeb"/>
              <w:spacing w:before="0" w:after="0"/>
              <w:rPr/>
            </w:pPr>
            <w:r>
              <w:rPr/>
              <w:t>4</w:t>
            </w:r>
          </w:p>
        </w:tc>
        <w:tc>
          <w:tcPr>
            <w:tcW w:w="1330" w:type="dxa"/>
            <w:tcBorders>
              <w:left w:val="single" w:sz="6" w:space="0" w:color="000000"/>
              <w:bottom w:val="single" w:sz="6" w:space="0" w:color="000000"/>
              <w:right w:val="single" w:sz="6" w:space="0" w:color="000000"/>
            </w:tcBorders>
            <w:vAlign w:val="center"/>
          </w:tcPr>
          <w:p>
            <w:pPr>
              <w:pStyle w:val="Western"/>
              <w:spacing w:before="0" w:after="0"/>
              <w:rPr/>
            </w:pPr>
            <w:r>
              <w:rPr/>
              <w:t>Определение</w:t>
            </w:r>
          </w:p>
        </w:tc>
        <w:tc>
          <w:tcPr>
            <w:tcW w:w="1843" w:type="dxa"/>
            <w:tcBorders>
              <w:left w:val="single" w:sz="6" w:space="0" w:color="000000"/>
              <w:bottom w:val="single" w:sz="6" w:space="0" w:color="000000"/>
              <w:right w:val="single" w:sz="6" w:space="0" w:color="000000"/>
            </w:tcBorders>
            <w:vAlign w:val="center"/>
          </w:tcPr>
          <w:p>
            <w:pPr>
              <w:pStyle w:val="Western"/>
              <w:spacing w:before="0" w:after="0"/>
              <w:rPr/>
            </w:pPr>
            <w:r>
              <w:rPr/>
              <w:t>Определение об отказе в возобновлении производства по делу</w:t>
            </w:r>
          </w:p>
        </w:tc>
        <w:tc>
          <w:tcPr>
            <w:tcW w:w="3195" w:type="dxa"/>
            <w:tcBorders>
              <w:left w:val="single" w:sz="6" w:space="0" w:color="000000"/>
              <w:bottom w:val="single" w:sz="6" w:space="0" w:color="000000"/>
              <w:right w:val="single" w:sz="6" w:space="0" w:color="000000"/>
            </w:tcBorders>
            <w:vAlign w:val="center"/>
          </w:tcPr>
          <w:p>
            <w:pPr>
              <w:pStyle w:val="Western"/>
              <w:spacing w:before="0" w:after="0"/>
              <w:rPr/>
            </w:pPr>
            <w:r>
              <w:rPr/>
              <w:t>Отдельный СА</w:t>
            </w:r>
          </w:p>
        </w:tc>
        <w:tc>
          <w:tcPr>
            <w:tcW w:w="1531" w:type="dxa"/>
            <w:tcBorders>
              <w:left w:val="single" w:sz="6" w:space="0" w:color="000000"/>
              <w:bottom w:val="single" w:sz="6" w:space="0" w:color="000000"/>
              <w:right w:val="single" w:sz="6" w:space="0" w:color="000000"/>
            </w:tcBorders>
            <w:vAlign w:val="center"/>
          </w:tcPr>
          <w:p>
            <w:pPr>
              <w:pStyle w:val="Western"/>
              <w:spacing w:before="0" w:after="0"/>
              <w:rPr/>
            </w:pPr>
            <w:r>
              <w:rPr/>
              <w:t>Да</w:t>
            </w:r>
          </w:p>
        </w:tc>
        <w:tc>
          <w:tcPr>
            <w:tcW w:w="3348" w:type="dxa"/>
            <w:tcBorders>
              <w:left w:val="single" w:sz="6" w:space="0" w:color="000000"/>
              <w:bottom w:val="single" w:sz="6" w:space="0" w:color="000000"/>
              <w:right w:val="single" w:sz="6" w:space="0" w:color="000000"/>
            </w:tcBorders>
            <w:vAlign w:val="center"/>
          </w:tcPr>
          <w:p>
            <w:pPr>
              <w:pStyle w:val="NormalWeb"/>
              <w:spacing w:before="0" w:after="0"/>
              <w:rPr/>
            </w:pPr>
            <w:r>
              <w:rPr/>
              <w:t>Не получен в ходе обследования</w:t>
            </w:r>
          </w:p>
        </w:tc>
      </w:tr>
    </w:tbl>
    <w:p>
      <w:pPr>
        <w:pStyle w:val="Heading2"/>
        <w:spacing w:before="49" w:after="49"/>
        <w:rPr>
          <w:rFonts w:eastAsia="Times New Roman"/>
        </w:rPr>
      </w:pPr>
      <w:r>
        <w:rPr>
          <w:rFonts w:eastAsia="Times New Roman"/>
        </w:rPr>
        <w:t>5.  Процессуальные сроки</w:t>
      </w:r>
    </w:p>
    <w:p>
      <w:pPr>
        <w:pStyle w:val="NormalWeb"/>
        <w:spacing w:before="49" w:after="49"/>
        <w:jc w:val="both"/>
        <w:rPr/>
      </w:pPr>
      <w:r>
        <w:rPr/>
      </w:r>
    </w:p>
    <w:tbl>
      <w:tblPr>
        <w:tblW w:w="9344" w:type="dxa"/>
        <w:jc w:val="left"/>
        <w:tblInd w:w="0" w:type="dxa"/>
        <w:tblLayout w:type="fixed"/>
        <w:tblCellMar>
          <w:top w:w="75" w:type="dxa"/>
          <w:left w:w="75" w:type="dxa"/>
          <w:bottom w:w="75" w:type="dxa"/>
          <w:right w:w="75" w:type="dxa"/>
        </w:tblCellMar>
        <w:tblLook w:firstRow="1" w:noVBand="1" w:lastRow="0" w:firstColumn="1" w:lastColumn="0" w:noHBand="0" w:val="04a0"/>
      </w:tblPr>
      <w:tblGrid>
        <w:gridCol w:w="1295"/>
        <w:gridCol w:w="3756"/>
        <w:gridCol w:w="1774"/>
        <w:gridCol w:w="2518"/>
      </w:tblGrid>
      <w:tr>
        <w:trPr/>
        <w:tc>
          <w:tcPr>
            <w:tcW w:w="1295"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b/>
                <w:bCs/>
              </w:rPr>
            </w:pPr>
            <w:r>
              <w:rPr>
                <w:rFonts w:eastAsia="Times New Roman"/>
                <w:b/>
                <w:bCs/>
              </w:rPr>
              <w:t>Шаг процесса</w:t>
            </w:r>
          </w:p>
        </w:tc>
        <w:tc>
          <w:tcPr>
            <w:tcW w:w="3756"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b/>
                <w:bCs/>
              </w:rPr>
            </w:pPr>
            <w:r>
              <w:rPr>
                <w:rFonts w:eastAsia="Times New Roman"/>
                <w:b/>
                <w:bCs/>
              </w:rPr>
              <w:t>Описание процессуального действия, для которого установлен срок</w:t>
            </w:r>
          </w:p>
        </w:tc>
        <w:tc>
          <w:tcPr>
            <w:tcW w:w="1774"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b/>
                <w:bCs/>
              </w:rPr>
            </w:pPr>
            <w:r>
              <w:rPr>
                <w:rFonts w:eastAsia="Times New Roman"/>
                <w:b/>
                <w:bCs/>
              </w:rPr>
              <w:t>Срок (год, месяц, день)</w:t>
            </w:r>
          </w:p>
        </w:tc>
        <w:tc>
          <w:tcPr>
            <w:tcW w:w="2518"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b/>
                <w:bCs/>
              </w:rPr>
            </w:pPr>
            <w:r>
              <w:rPr>
                <w:rFonts w:eastAsia="Times New Roman"/>
                <w:b/>
                <w:bCs/>
              </w:rPr>
              <w:t>Применимые нормы (по возможности)</w:t>
            </w:r>
          </w:p>
        </w:tc>
      </w:tr>
      <w:tr>
        <w:trPr>
          <w:cantSplit w:val="true"/>
        </w:trPr>
        <w:tc>
          <w:tcPr>
            <w:tcW w:w="1295" w:type="dxa"/>
            <w:tcBorders>
              <w:top w:val="single" w:sz="6" w:space="0" w:color="000000"/>
              <w:left w:val="single" w:sz="6" w:space="0" w:color="000000"/>
              <w:bottom w:val="single" w:sz="6" w:space="0" w:color="000000"/>
              <w:right w:val="single" w:sz="6" w:space="0" w:color="000000"/>
            </w:tcBorders>
            <w:vAlign w:val="center"/>
          </w:tcPr>
          <w:p>
            <w:pPr>
              <w:pStyle w:val="Style14"/>
              <w:bidi w:val="0"/>
              <w:ind w:hanging="0" w:left="0" w:right="0"/>
              <w:jc w:val="left"/>
              <w:rPr/>
            </w:pPr>
            <w:r>
              <w:rPr/>
              <w:t>-</w:t>
            </w:r>
          </w:p>
        </w:tc>
        <w:tc>
          <w:tcPr>
            <w:tcW w:w="3756" w:type="dxa"/>
            <w:tcBorders>
              <w:top w:val="single" w:sz="6" w:space="0" w:color="000000"/>
              <w:left w:val="single" w:sz="6" w:space="0" w:color="000000"/>
              <w:bottom w:val="single" w:sz="6" w:space="0" w:color="000000"/>
              <w:right w:val="single" w:sz="6" w:space="0" w:color="000000"/>
            </w:tcBorders>
            <w:vAlign w:val="center"/>
          </w:tcPr>
          <w:p>
            <w:pPr>
              <w:pStyle w:val="Style14"/>
              <w:bidi w:val="0"/>
              <w:ind w:hanging="0" w:left="0" w:right="0"/>
              <w:jc w:val="left"/>
              <w:rPr/>
            </w:pPr>
            <w:r>
              <w:rPr/>
              <w:t>-</w:t>
            </w:r>
          </w:p>
        </w:tc>
        <w:tc>
          <w:tcPr>
            <w:tcW w:w="1774" w:type="dxa"/>
            <w:tcBorders>
              <w:top w:val="single" w:sz="6" w:space="0" w:color="000000"/>
              <w:left w:val="single" w:sz="6" w:space="0" w:color="000000"/>
              <w:bottom w:val="single" w:sz="6" w:space="0" w:color="000000"/>
              <w:right w:val="single" w:sz="6" w:space="0" w:color="000000"/>
            </w:tcBorders>
            <w:vAlign w:val="center"/>
          </w:tcPr>
          <w:p>
            <w:pPr>
              <w:pStyle w:val="Style14"/>
              <w:bidi w:val="0"/>
              <w:ind w:hanging="0" w:left="0" w:right="0"/>
              <w:jc w:val="left"/>
              <w:rPr/>
            </w:pPr>
            <w:r>
              <w:rPr/>
              <w:t>-</w:t>
            </w:r>
          </w:p>
        </w:tc>
        <w:tc>
          <w:tcPr>
            <w:tcW w:w="2518" w:type="dxa"/>
            <w:tcBorders>
              <w:top w:val="single" w:sz="6" w:space="0" w:color="000000"/>
              <w:left w:val="single" w:sz="6" w:space="0" w:color="000000"/>
              <w:bottom w:val="single" w:sz="6" w:space="0" w:color="000000"/>
              <w:right w:val="single" w:sz="6" w:space="0" w:color="000000"/>
            </w:tcBorders>
            <w:vAlign w:val="center"/>
          </w:tcPr>
          <w:p>
            <w:pPr>
              <w:pStyle w:val="Style14"/>
              <w:bidi w:val="0"/>
              <w:ind w:hanging="0" w:left="0" w:right="0"/>
              <w:jc w:val="left"/>
              <w:rPr/>
            </w:pPr>
            <w:r>
              <w:rPr/>
              <w:t>-</w:t>
            </w:r>
          </w:p>
        </w:tc>
      </w:tr>
    </w:tbl>
    <w:p>
      <w:pPr>
        <w:pStyle w:val="Heading2"/>
        <w:spacing w:before="49" w:after="49"/>
        <w:rPr>
          <w:rFonts w:eastAsia="Times New Roman"/>
        </w:rPr>
      </w:pPr>
      <w:r>
        <w:rPr>
          <w:rFonts w:eastAsia="Times New Roman"/>
        </w:rPr>
        <w:t>6. Реестр справочников</w:t>
      </w:r>
    </w:p>
    <w:p>
      <w:pPr>
        <w:pStyle w:val="Normal"/>
        <w:rPr>
          <w:rFonts w:eastAsia="Times New Roman"/>
        </w:rPr>
      </w:pPr>
      <w:r>
        <w:rPr>
          <w:rFonts w:eastAsia="Times New Roman"/>
        </w:rPr>
      </w:r>
    </w:p>
    <w:tbl>
      <w:tblPr>
        <w:tblW w:w="9436" w:type="dxa"/>
        <w:jc w:val="left"/>
        <w:tblInd w:w="0" w:type="dxa"/>
        <w:tblLayout w:type="fixed"/>
        <w:tblCellMar>
          <w:top w:w="75" w:type="dxa"/>
          <w:left w:w="75" w:type="dxa"/>
          <w:bottom w:w="75" w:type="dxa"/>
          <w:right w:w="75" w:type="dxa"/>
        </w:tblCellMar>
        <w:tblLook w:firstRow="1" w:noVBand="1" w:lastRow="0" w:firstColumn="1" w:lastColumn="0" w:noHBand="0" w:val="04a0"/>
      </w:tblPr>
      <w:tblGrid>
        <w:gridCol w:w="696"/>
        <w:gridCol w:w="2193"/>
        <w:gridCol w:w="2243"/>
        <w:gridCol w:w="2181"/>
        <w:gridCol w:w="2123"/>
      </w:tblGrid>
      <w:tr>
        <w:trPr>
          <w:cantSplit w:val="true"/>
        </w:trPr>
        <w:tc>
          <w:tcPr>
            <w:tcW w:w="696"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Style w:val="Strong"/>
                <w:rFonts w:eastAsia="Times New Roman"/>
              </w:rPr>
              <w:t>№</w:t>
            </w:r>
          </w:p>
        </w:tc>
        <w:tc>
          <w:tcPr>
            <w:tcW w:w="2193"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Style w:val="Strong"/>
                <w:rFonts w:eastAsia="Times New Roman"/>
              </w:rPr>
              <w:t>Наименование справочника</w:t>
            </w:r>
          </w:p>
        </w:tc>
        <w:tc>
          <w:tcPr>
            <w:tcW w:w="2243"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Style w:val="Strong"/>
                <w:rFonts w:eastAsia="Times New Roman"/>
              </w:rPr>
              <w:t>Назначение справочника</w:t>
            </w:r>
          </w:p>
        </w:tc>
        <w:tc>
          <w:tcPr>
            <w:tcW w:w="218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Структура справочника</w:t>
            </w:r>
          </w:p>
        </w:tc>
        <w:tc>
          <w:tcPr>
            <w:tcW w:w="21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Значения справочника</w:t>
            </w:r>
          </w:p>
        </w:tc>
      </w:tr>
      <w:tr>
        <w:trPr>
          <w:cantSplit w:val="true"/>
        </w:trPr>
        <w:tc>
          <w:tcPr>
            <w:tcW w:w="696" w:type="dxa"/>
            <w:tcBorders>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1.1</w:t>
            </w:r>
          </w:p>
        </w:tc>
        <w:tc>
          <w:tcPr>
            <w:tcW w:w="2193" w:type="dxa"/>
            <w:tcBorders>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Арбитражные суды</w:t>
            </w:r>
          </w:p>
        </w:tc>
        <w:tc>
          <w:tcPr>
            <w:tcW w:w="2243" w:type="dxa"/>
            <w:tcBorders>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Наименования и коды арбитражных судов Российской Федерации</w:t>
            </w:r>
          </w:p>
        </w:tc>
        <w:tc>
          <w:tcPr>
            <w:tcW w:w="2181" w:type="dxa"/>
            <w:tcBorders>
              <w:left w:val="single" w:sz="6" w:space="0" w:color="000000"/>
              <w:bottom w:val="single" w:sz="6" w:space="0" w:color="000000"/>
              <w:right w:val="single" w:sz="6" w:space="0" w:color="000000"/>
            </w:tcBorders>
            <w:vAlign w:val="center"/>
          </w:tcPr>
          <w:p>
            <w:pPr>
              <w:pStyle w:val="NormalWeb"/>
              <w:spacing w:before="0" w:after="0"/>
              <w:rPr/>
            </w:pPr>
            <w:r>
              <w:rPr/>
              <w:t>см. страницу 1.1</w:t>
            </w:r>
          </w:p>
        </w:tc>
        <w:tc>
          <w:tcPr>
            <w:tcW w:w="2123" w:type="dxa"/>
            <w:tcBorders>
              <w:left w:val="single" w:sz="6" w:space="0" w:color="000000"/>
              <w:bottom w:val="single" w:sz="6" w:space="0" w:color="000000"/>
              <w:right w:val="single" w:sz="6" w:space="0" w:color="000000"/>
            </w:tcBorders>
            <w:vAlign w:val="center"/>
          </w:tcPr>
          <w:p>
            <w:pPr>
              <w:pStyle w:val="NormalWeb"/>
              <w:spacing w:before="0" w:after="0"/>
              <w:rPr/>
            </w:pPr>
            <w:hyperlink r:id="rId4">
              <w:r>
                <w:rPr>
                  <w:rStyle w:val="Hyperlink"/>
                </w:rPr>
                <w:t>Ссылка на справочник</w:t>
              </w:r>
            </w:hyperlink>
          </w:p>
        </w:tc>
      </w:tr>
      <w:tr>
        <w:trPr>
          <w:trHeight w:val="20" w:hRule="atLeast"/>
          <w:cantSplit w:val="true"/>
        </w:trPr>
        <w:tc>
          <w:tcPr>
            <w:tcW w:w="696" w:type="dxa"/>
            <w:tcBorders>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1.15</w:t>
            </w:r>
          </w:p>
        </w:tc>
        <w:tc>
          <w:tcPr>
            <w:tcW w:w="2193" w:type="dxa"/>
            <w:tcBorders>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Основания процессуального действия (решения)</w:t>
            </w:r>
          </w:p>
        </w:tc>
        <w:tc>
          <w:tcPr>
            <w:tcW w:w="2243" w:type="dxa"/>
            <w:tcBorders>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Основания процессуального действия (решения), выбираемые в судебном акте</w:t>
            </w:r>
          </w:p>
        </w:tc>
        <w:tc>
          <w:tcPr>
            <w:tcW w:w="2181" w:type="dxa"/>
            <w:tcBorders>
              <w:left w:val="single" w:sz="6" w:space="0" w:color="000000"/>
              <w:bottom w:val="single" w:sz="6" w:space="0" w:color="000000"/>
              <w:right w:val="single" w:sz="6" w:space="0" w:color="000000"/>
            </w:tcBorders>
            <w:vAlign w:val="center"/>
          </w:tcPr>
          <w:p>
            <w:pPr>
              <w:pStyle w:val="NormalWeb"/>
              <w:spacing w:before="0" w:after="0"/>
              <w:rPr/>
            </w:pPr>
            <w:r>
              <w:rPr>
                <w:rFonts w:eastAsia="Times New Roman"/>
              </w:rPr>
              <w:t>см. страницу 1.15</w:t>
            </w:r>
          </w:p>
        </w:tc>
        <w:tc>
          <w:tcPr>
            <w:tcW w:w="2123" w:type="dxa"/>
            <w:tcBorders>
              <w:left w:val="single" w:sz="6" w:space="0" w:color="000000"/>
              <w:bottom w:val="single" w:sz="6" w:space="0" w:color="000000"/>
              <w:right w:val="single" w:sz="6" w:space="0" w:color="000000"/>
            </w:tcBorders>
            <w:vAlign w:val="center"/>
          </w:tcPr>
          <w:p>
            <w:pPr>
              <w:pStyle w:val="Normal"/>
              <w:rPr>
                <w:rFonts w:eastAsia="Times New Roman"/>
              </w:rPr>
            </w:pPr>
            <w:hyperlink r:id="rId5">
              <w:r>
                <w:rPr>
                  <w:rStyle w:val="Hyperlink"/>
                  <w:rFonts w:eastAsia="Times New Roman"/>
                </w:rPr>
                <w:t>Ссылка на справочник</w:t>
              </w:r>
            </w:hyperlink>
          </w:p>
        </w:tc>
      </w:tr>
    </w:tbl>
    <w:p>
      <w:pPr>
        <w:pStyle w:val="Heading2"/>
        <w:spacing w:before="49" w:after="49"/>
        <w:rPr>
          <w:rFonts w:eastAsia="Times New Roman"/>
        </w:rPr>
      </w:pPr>
      <w:r>
        <w:rPr>
          <w:rFonts w:eastAsia="Times New Roman"/>
        </w:rPr>
        <w:t>7. Межведомственное взаимодействие</w:t>
      </w:r>
    </w:p>
    <w:tbl>
      <w:tblPr>
        <w:tblW w:w="9432" w:type="dxa"/>
        <w:jc w:val="left"/>
        <w:tblInd w:w="0" w:type="dxa"/>
        <w:tblLayout w:type="fixed"/>
        <w:tblCellMar>
          <w:top w:w="75" w:type="dxa"/>
          <w:left w:w="75" w:type="dxa"/>
          <w:bottom w:w="75" w:type="dxa"/>
          <w:right w:w="75" w:type="dxa"/>
        </w:tblCellMar>
        <w:tblLook w:firstRow="1" w:noVBand="1" w:lastRow="0" w:firstColumn="1" w:lastColumn="0" w:noHBand="0" w:val="04a0"/>
      </w:tblPr>
      <w:tblGrid>
        <w:gridCol w:w="1521"/>
        <w:gridCol w:w="2237"/>
        <w:gridCol w:w="2950"/>
        <w:gridCol w:w="2723"/>
      </w:tblGrid>
      <w:tr>
        <w:trPr/>
        <w:tc>
          <w:tcPr>
            <w:tcW w:w="152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b/>
                <w:bCs/>
              </w:rPr>
            </w:pPr>
            <w:r>
              <w:rPr>
                <w:b/>
                <w:bCs/>
              </w:rPr>
              <w:t>Ведомство</w:t>
            </w:r>
          </w:p>
        </w:tc>
        <w:tc>
          <w:tcPr>
            <w:tcW w:w="22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b/>
                <w:bCs/>
              </w:rPr>
            </w:pPr>
            <w:r>
              <w:rPr>
                <w:b/>
                <w:bCs/>
              </w:rPr>
              <w:t>Вид взаимодействия</w:t>
            </w:r>
          </w:p>
        </w:tc>
        <w:tc>
          <w:tcPr>
            <w:tcW w:w="2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b/>
                <w:bCs/>
              </w:rPr>
            </w:pPr>
            <w:r>
              <w:rPr>
                <w:b/>
                <w:bCs/>
              </w:rPr>
              <w:t>Система</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b/>
                <w:bCs/>
              </w:rPr>
            </w:pPr>
            <w:r>
              <w:rPr>
                <w:b/>
                <w:bCs/>
              </w:rPr>
              <w:t>Суть взаимодействия</w:t>
            </w:r>
          </w:p>
        </w:tc>
      </w:tr>
      <w:tr>
        <w:trPr>
          <w:cantSplit w:val="true"/>
        </w:trPr>
        <w:tc>
          <w:tcPr>
            <w:tcW w:w="1521" w:type="dxa"/>
            <w:tcBorders>
              <w:top w:val="single" w:sz="6" w:space="0" w:color="000000"/>
              <w:left w:val="single" w:sz="6" w:space="0" w:color="000000"/>
              <w:bottom w:val="single" w:sz="6" w:space="0" w:color="000000"/>
              <w:right w:val="single" w:sz="6" w:space="0" w:color="000000"/>
            </w:tcBorders>
            <w:vAlign w:val="center"/>
          </w:tcPr>
          <w:p>
            <w:pPr>
              <w:pStyle w:val="Style14"/>
              <w:bidi w:val="0"/>
              <w:ind w:hanging="0" w:left="0" w:right="0"/>
              <w:jc w:val="left"/>
              <w:rPr/>
            </w:pPr>
            <w:r>
              <w:rPr/>
              <w:t>-</w:t>
            </w:r>
          </w:p>
        </w:tc>
        <w:tc>
          <w:tcPr>
            <w:tcW w:w="2237" w:type="dxa"/>
            <w:tcBorders>
              <w:top w:val="single" w:sz="6" w:space="0" w:color="000000"/>
              <w:left w:val="single" w:sz="6" w:space="0" w:color="000000"/>
              <w:bottom w:val="single" w:sz="6" w:space="0" w:color="000000"/>
              <w:right w:val="single" w:sz="6" w:space="0" w:color="000000"/>
            </w:tcBorders>
            <w:vAlign w:val="center"/>
          </w:tcPr>
          <w:p>
            <w:pPr>
              <w:pStyle w:val="Style14"/>
              <w:bidi w:val="0"/>
              <w:ind w:hanging="0" w:left="0" w:right="0"/>
              <w:jc w:val="left"/>
              <w:rPr/>
            </w:pPr>
            <w:r>
              <w:rPr/>
              <w:t>-</w:t>
            </w:r>
          </w:p>
        </w:tc>
        <w:tc>
          <w:tcPr>
            <w:tcW w:w="2950" w:type="dxa"/>
            <w:tcBorders>
              <w:top w:val="single" w:sz="6" w:space="0" w:color="000000"/>
              <w:left w:val="single" w:sz="6" w:space="0" w:color="000000"/>
              <w:bottom w:val="single" w:sz="6" w:space="0" w:color="000000"/>
              <w:right w:val="single" w:sz="6" w:space="0" w:color="000000"/>
            </w:tcBorders>
            <w:vAlign w:val="center"/>
          </w:tcPr>
          <w:p>
            <w:pPr>
              <w:pStyle w:val="Style14"/>
              <w:bidi w:val="0"/>
              <w:ind w:hanging="0" w:left="0" w:right="0"/>
              <w:jc w:val="left"/>
              <w:rPr/>
            </w:pPr>
            <w:r>
              <w:rPr/>
              <w:t>-</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Style14"/>
              <w:bidi w:val="0"/>
              <w:ind w:hanging="0" w:left="0" w:right="0"/>
              <w:jc w:val="left"/>
              <w:rPr/>
            </w:pPr>
            <w:r>
              <w:rPr/>
              <w:t>-</w:t>
            </w:r>
          </w:p>
        </w:tc>
      </w:tr>
    </w:tbl>
    <w:p>
      <w:pPr>
        <w:pStyle w:val="Heading2"/>
        <w:spacing w:before="49" w:after="49"/>
        <w:rPr>
          <w:b w:val="false"/>
          <w:bCs w:val="false"/>
          <w:sz w:val="24"/>
          <w:szCs w:val="24"/>
        </w:rPr>
      </w:pPr>
      <w:r>
        <w:rPr>
          <w:rFonts w:eastAsia="Times New Roman"/>
          <w:b w:val="false"/>
          <w:bCs w:val="false"/>
          <w:sz w:val="24"/>
          <w:szCs w:val="24"/>
        </w:rPr>
        <w:t>Примечание: в данном процессе не предусмотрено межведомственное взаимодействие</w:t>
      </w:r>
    </w:p>
    <w:p>
      <w:pPr>
        <w:pStyle w:val="Heading2"/>
        <w:spacing w:before="49" w:after="49"/>
        <w:rPr>
          <w:rFonts w:eastAsia="Times New Roman"/>
        </w:rPr>
      </w:pPr>
      <w:r>
        <w:rPr>
          <w:rFonts w:eastAsia="Times New Roman"/>
        </w:rPr>
        <w:t>8. AS IS</w:t>
      </w:r>
    </w:p>
    <w:p>
      <w:pPr>
        <w:pStyle w:val="Heading3"/>
        <w:spacing w:before="49" w:after="49"/>
        <w:rPr>
          <w:rFonts w:eastAsia="Times New Roman"/>
        </w:rPr>
      </w:pPr>
      <w:r>
        <w:rPr>
          <w:rFonts w:eastAsia="Times New Roman"/>
        </w:rPr>
        <w:t>8.1  Схема процесса </w:t>
      </w:r>
    </w:p>
    <w:p>
      <w:pPr>
        <w:pStyle w:val="Western"/>
        <w:spacing w:before="49" w:after="49"/>
        <w:rPr/>
      </w:pPr>
      <w:r>
        <w:rPr>
          <w:rStyle w:val="Style11"/>
          <w:lang w:val="en-US"/>
        </w:rPr>
        <w:t>TBP63_rassmotr_vopros_priost_asis.bpmn</w:t>
      </w:r>
    </w:p>
    <w:p>
      <w:pPr>
        <w:pStyle w:val="Heading3"/>
        <w:spacing w:before="49" w:after="49"/>
        <w:rPr>
          <w:rFonts w:eastAsia="Times New Roman"/>
        </w:rPr>
      </w:pPr>
      <w:r>
        <w:rPr>
          <w:rFonts w:eastAsia="Times New Roman"/>
        </w:rPr>
        <w:t>8.2 Описание схемы</w:t>
      </w:r>
    </w:p>
    <w:p>
      <w:pPr>
        <w:pStyle w:val="Heading2"/>
        <w:spacing w:before="49" w:after="49"/>
        <w:rPr>
          <w:b w:val="false"/>
          <w:bCs w:val="false"/>
          <w:sz w:val="24"/>
          <w:szCs w:val="24"/>
        </w:rPr>
      </w:pPr>
      <w:r>
        <w:rPr>
          <w:rFonts w:eastAsia="Times New Roman"/>
          <w:sz w:val="24"/>
          <w:szCs w:val="24"/>
        </w:rPr>
        <w:t>Термины и сокращения:</w:t>
      </w:r>
      <w:r>
        <w:rPr>
          <w:rFonts w:eastAsia="Times New Roman"/>
          <w:b w:val="false"/>
          <w:bCs w:val="false"/>
          <w:sz w:val="24"/>
          <w:szCs w:val="24"/>
        </w:rPr>
        <w:t xml:space="preserve"> </w:t>
      </w:r>
      <w:hyperlink r:id="rId6">
        <w:r>
          <w:rPr>
            <w:rStyle w:val="Hyperlink"/>
            <w:rFonts w:eastAsia="Times New Roman"/>
            <w:b w:val="false"/>
            <w:bCs w:val="false"/>
            <w:sz w:val="24"/>
            <w:szCs w:val="24"/>
          </w:rPr>
          <w:t>https://itpm-wiki.mos.ru/pages/viewpage.action?pageId=533161398</w:t>
        </w:r>
      </w:hyperlink>
    </w:p>
    <w:tbl>
      <w:tblPr>
        <w:tblW w:w="935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4"/>
        <w:gridCol w:w="1635"/>
        <w:gridCol w:w="1326"/>
        <w:gridCol w:w="1631"/>
        <w:gridCol w:w="1790"/>
        <w:gridCol w:w="2133"/>
      </w:tblGrid>
      <w:tr>
        <w:trPr/>
        <w:tc>
          <w:tcPr>
            <w:tcW w:w="834" w:type="dxa"/>
            <w:tcBorders>
              <w:top w:val="single" w:sz="4" w:space="0" w:color="000000"/>
              <w:left w:val="single" w:sz="4" w:space="0" w:color="000000"/>
              <w:bottom w:val="single" w:sz="4" w:space="0" w:color="000000"/>
              <w:right w:val="single" w:sz="4" w:space="0" w:color="000000"/>
            </w:tcBorders>
          </w:tcPr>
          <w:p>
            <w:pPr>
              <w:pStyle w:val="Normal"/>
              <w:jc w:val="center"/>
              <w:rPr/>
            </w:pPr>
            <w:r>
              <w:rPr>
                <w:b/>
                <w:bCs/>
              </w:rPr>
              <w:t>Номер действия</w:t>
            </w:r>
          </w:p>
        </w:tc>
        <w:tc>
          <w:tcPr>
            <w:tcW w:w="1635" w:type="dxa"/>
            <w:tcBorders>
              <w:top w:val="single" w:sz="4" w:space="0" w:color="000000"/>
              <w:left w:val="single" w:sz="4" w:space="0" w:color="000000"/>
              <w:bottom w:val="single" w:sz="4" w:space="0" w:color="000000"/>
              <w:right w:val="single" w:sz="4" w:space="0" w:color="000000"/>
            </w:tcBorders>
          </w:tcPr>
          <w:p>
            <w:pPr>
              <w:pStyle w:val="Normal"/>
              <w:jc w:val="center"/>
              <w:rPr/>
            </w:pPr>
            <w:r>
              <w:rPr>
                <w:b/>
                <w:bCs/>
              </w:rPr>
              <w:t>Роль</w:t>
              <w:br/>
            </w:r>
            <w:r>
              <w:rPr>
                <w:rStyle w:val="Emphasis"/>
                <w:b/>
                <w:bCs/>
              </w:rPr>
              <w:t>(актор на конкретном шаге, в т.ч. Система</w:t>
            </w:r>
          </w:p>
        </w:tc>
        <w:tc>
          <w:tcPr>
            <w:tcW w:w="1326" w:type="dxa"/>
            <w:tcBorders>
              <w:top w:val="single" w:sz="4" w:space="0" w:color="000000"/>
              <w:left w:val="single" w:sz="4" w:space="0" w:color="000000"/>
              <w:bottom w:val="single" w:sz="4" w:space="0" w:color="000000"/>
              <w:right w:val="single" w:sz="4" w:space="0" w:color="000000"/>
            </w:tcBorders>
          </w:tcPr>
          <w:p>
            <w:pPr>
              <w:pStyle w:val="Normal"/>
              <w:jc w:val="center"/>
              <w:rPr/>
            </w:pPr>
            <w:r>
              <w:rPr>
                <w:b/>
                <w:bCs/>
              </w:rPr>
              <w:t>Входящие материалы</w:t>
              <w:br/>
            </w:r>
            <w:r>
              <w:rPr>
                <w:rStyle w:val="Emphasis"/>
                <w:b/>
                <w:bCs/>
              </w:rPr>
              <w:t>(объект/данные, инициирующие шаг</w:t>
            </w:r>
          </w:p>
        </w:tc>
        <w:tc>
          <w:tcPr>
            <w:tcW w:w="1631" w:type="dxa"/>
            <w:tcBorders>
              <w:top w:val="single" w:sz="4" w:space="0" w:color="000000"/>
              <w:left w:val="single" w:sz="4" w:space="0" w:color="000000"/>
              <w:bottom w:val="single" w:sz="4" w:space="0" w:color="000000"/>
              <w:right w:val="single" w:sz="4" w:space="0" w:color="000000"/>
            </w:tcBorders>
          </w:tcPr>
          <w:p>
            <w:pPr>
              <w:pStyle w:val="Normal"/>
              <w:jc w:val="center"/>
              <w:rPr/>
            </w:pPr>
            <w:r>
              <w:rPr>
                <w:b/>
                <w:bCs/>
              </w:rPr>
              <w:t>Исходящие материалы</w:t>
              <w:br/>
            </w:r>
            <w:r>
              <w:rPr>
                <w:rStyle w:val="Emphasis"/>
                <w:b/>
                <w:bCs/>
              </w:rPr>
              <w:t>(объект, являющийся результатом действия</w:t>
            </w:r>
          </w:p>
        </w:tc>
        <w:tc>
          <w:tcPr>
            <w:tcW w:w="1790" w:type="dxa"/>
            <w:tcBorders>
              <w:top w:val="single" w:sz="4" w:space="0" w:color="000000"/>
              <w:left w:val="single" w:sz="4" w:space="0" w:color="000000"/>
              <w:bottom w:val="single" w:sz="4" w:space="0" w:color="000000"/>
              <w:right w:val="single" w:sz="4" w:space="0" w:color="000000"/>
            </w:tcBorders>
          </w:tcPr>
          <w:p>
            <w:pPr>
              <w:pStyle w:val="Normal"/>
              <w:jc w:val="center"/>
              <w:rPr/>
            </w:pPr>
            <w:r>
              <w:rPr>
                <w:b/>
                <w:bCs/>
              </w:rPr>
              <w:t>Наименование шага процесса</w:t>
            </w:r>
          </w:p>
        </w:tc>
        <w:tc>
          <w:tcPr>
            <w:tcW w:w="2133" w:type="dxa"/>
            <w:tcBorders>
              <w:top w:val="single" w:sz="4" w:space="0" w:color="000000"/>
              <w:left w:val="single" w:sz="4" w:space="0" w:color="000000"/>
              <w:bottom w:val="single" w:sz="4" w:space="0" w:color="000000"/>
              <w:right w:val="single" w:sz="4" w:space="0" w:color="000000"/>
            </w:tcBorders>
          </w:tcPr>
          <w:p>
            <w:pPr>
              <w:pStyle w:val="Normal"/>
              <w:jc w:val="center"/>
              <w:rPr/>
            </w:pPr>
            <w:r>
              <w:rPr>
                <w:b/>
                <w:bCs/>
              </w:rPr>
              <w:t>Описание шага процесса</w:t>
            </w:r>
          </w:p>
        </w:tc>
      </w:tr>
      <w:tr>
        <w:trPr>
          <w:trHeight w:val="10712" w:hRule="atLeast"/>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0</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Возникла необходимость рассмотреть вопрос о приостановлении производства по делу</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Приостановление производства по делу регулируется гл. 16 АПК РФ.</w:t>
            </w:r>
          </w:p>
          <w:p>
            <w:pPr>
              <w:pStyle w:val="Western"/>
              <w:spacing w:before="49" w:after="49"/>
              <w:rPr/>
            </w:pPr>
            <w:r>
              <w:rPr/>
              <w:t>Суд может приостановить производству по делу ввиду временной невозможности продолжить ход рассмотрения в силу:</w:t>
            </w:r>
          </w:p>
          <w:p>
            <w:pPr>
              <w:pStyle w:val="Western"/>
              <w:spacing w:before="49" w:after="49"/>
              <w:rPr/>
            </w:pPr>
            <w:r>
              <w:rPr/>
              <w:t>1) Обязанности</w:t>
            </w:r>
          </w:p>
          <w:p>
            <w:pPr>
              <w:pStyle w:val="Western"/>
              <w:spacing w:before="49" w:after="49"/>
              <w:rPr/>
            </w:pPr>
            <w:r>
              <w:rPr/>
              <w:t>2) Или права</w:t>
            </w:r>
          </w:p>
          <w:p>
            <w:pPr>
              <w:pStyle w:val="Western"/>
              <w:spacing w:before="49" w:after="49"/>
              <w:rPr/>
            </w:pPr>
            <w:r>
              <w:rPr/>
            </w:r>
          </w:p>
          <w:p>
            <w:pPr>
              <w:pStyle w:val="Western"/>
              <w:spacing w:before="49" w:after="0"/>
              <w:rPr/>
            </w:pPr>
            <w:r>
              <w:rPr/>
              <w:t>Судья арбитражного суда принимает решение о необходимости рассмотрения вопроса о приостановлении производства по делу.</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1</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наличие ходатайства стороны о приостановлении</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Судья проверяет, направляла ли сторона ходатайство о приостановлении производства по делу.</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2</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По чьей инициативе рассматривается вопрос?</w:t>
            </w:r>
          </w:p>
          <w:p>
            <w:pPr>
              <w:pStyle w:val="Western"/>
              <w:spacing w:before="49" w:after="49"/>
              <w:rPr/>
            </w:pPr>
            <w:r>
              <w:rPr/>
            </w:r>
          </w:p>
          <w:p>
            <w:pPr>
              <w:pStyle w:val="Western"/>
              <w:spacing w:before="49" w:after="0"/>
              <w:rPr/>
            </w:pPr>
            <w:r>
              <w:rP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Если вопрос приостановления решается по ходатайству стороны, то переход к шагу 3,</w:t>
            </w:r>
          </w:p>
          <w:p>
            <w:pPr>
              <w:pStyle w:val="Western"/>
              <w:spacing w:before="49" w:after="0"/>
              <w:rPr/>
            </w:pPr>
            <w:r>
              <w:rPr/>
              <w:t>Если по инициативе суда - переход к шагу 19</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3</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право на подачу</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 проверяет наличие у лица права на подачу документа в суд</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4</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факт назначения экспертизы</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П. 1 ст. 144 АПК РФ: суд вправе приостановить производство в случае назначения экспертизы.</w:t>
            </w:r>
          </w:p>
          <w:p>
            <w:pPr>
              <w:pStyle w:val="Western"/>
              <w:spacing w:before="49" w:after="0"/>
              <w:rPr/>
            </w:pPr>
            <w:r>
              <w:rPr/>
              <w:t>Судья проверяет факт назначения экспертизы</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5</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факт реорганизации ЛУВД</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П. 2 ст. 144 АПК РФ: суд вправе приостановить производство в случае реорганизации организации, являющейся лицом, участвующим в дел.</w:t>
            </w:r>
          </w:p>
          <w:p>
            <w:pPr>
              <w:pStyle w:val="Western"/>
              <w:spacing w:before="49" w:after="49"/>
              <w:rPr/>
            </w:pPr>
            <w:r>
              <w:rPr/>
            </w:r>
          </w:p>
          <w:p>
            <w:pPr>
              <w:pStyle w:val="Western"/>
              <w:spacing w:before="49" w:after="0"/>
              <w:rPr/>
            </w:pPr>
            <w:r>
              <w:rPr/>
              <w:t>Судья проверяет факт реорганизации лица, участвующего в деле</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6</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привлечение ЛУВД к гос. обязанности</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П. 3 ст. 144 АПК РФ: суд вправе приостановить производство в случае привлечения гражданина, являющегося лицом, участвующим в деле, для выполнения государственной обязанности.</w:t>
            </w:r>
          </w:p>
          <w:p>
            <w:pPr>
              <w:pStyle w:val="Western"/>
              <w:spacing w:before="49" w:after="49"/>
              <w:rPr/>
            </w:pPr>
            <w:r>
              <w:rPr/>
            </w:r>
          </w:p>
          <w:p>
            <w:pPr>
              <w:pStyle w:val="Western"/>
              <w:spacing w:before="49" w:after="0"/>
              <w:rPr/>
            </w:pPr>
            <w:r>
              <w:rPr/>
              <w:t>Судья проверяет факт привлечения лица, участвующего в деле, к государственной обязанности</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7</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нахождение ЛУВД в лечебном учреждении</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П. 4 ст. 144 АПК РФ: суд вправе приостановить производство в случае нахождения гражданина, являющегося лицом, участвующим в деле, в лечебном учреждении или длительной служебной командировке.</w:t>
            </w:r>
          </w:p>
          <w:p>
            <w:pPr>
              <w:pStyle w:val="Western"/>
              <w:spacing w:before="49" w:after="49"/>
              <w:rPr/>
            </w:pPr>
            <w:r>
              <w:rPr/>
            </w:r>
          </w:p>
          <w:p>
            <w:pPr>
              <w:pStyle w:val="Western"/>
              <w:spacing w:before="49" w:after="0"/>
              <w:rPr/>
            </w:pPr>
            <w:r>
              <w:rPr/>
              <w:t>Судья проверяет нахождение лица, участвующего в деле, в лечебном учреждении.</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8</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нахождение ЛУВД в командировке</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П. 4 ст. 144 АПК РФ: суд вправе приостановить производство в случае нахождения гражданина, являющегося лицом, участвующим в деле, в лечебном учреждении или длительной служебной командировке.</w:t>
            </w:r>
          </w:p>
          <w:p>
            <w:pPr>
              <w:pStyle w:val="Western"/>
              <w:spacing w:before="49" w:after="49"/>
              <w:rPr/>
            </w:pPr>
            <w:r>
              <w:rPr/>
            </w:r>
          </w:p>
          <w:p>
            <w:pPr>
              <w:pStyle w:val="Western"/>
              <w:spacing w:before="49" w:after="0"/>
              <w:rPr/>
            </w:pPr>
            <w:r>
              <w:rPr/>
              <w:t>Судья проверяет нахождение лица, участвующего в деле, в командировке.</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9</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возможность рассмотрения дела до разрешения другого дела</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П. 5 ст. 144 АПК РФ: суд вправе приостановить производство в случае рассмотрения международным судом, судом иностранного государства другого дела, решение по которому может иметь значение для рассмотрения данного дела.</w:t>
            </w:r>
          </w:p>
          <w:p>
            <w:pPr>
              <w:pStyle w:val="Western"/>
              <w:spacing w:before="49" w:after="49"/>
              <w:rPr/>
            </w:pPr>
            <w:r>
              <w:rPr/>
            </w:r>
          </w:p>
          <w:p>
            <w:pPr>
              <w:pStyle w:val="Western"/>
              <w:spacing w:before="49" w:after="0"/>
              <w:rPr/>
            </w:pPr>
            <w:r>
              <w:rPr/>
              <w:t>Судья арбитражного суда проверяет возможность рассмотрения дела до разрешения другого дела международным судом/судом иностранного государства.</w:t>
            </w:r>
          </w:p>
        </w:tc>
      </w:tr>
      <w:tr>
        <w:trPr>
          <w:trHeight w:val="4022" w:hRule="atLeast"/>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10</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Сторона - гражданин, осуществляющего полномочия единоличного исполнительного органа организации?</w:t>
            </w:r>
          </w:p>
          <w:p>
            <w:pPr>
              <w:pStyle w:val="Western"/>
              <w:spacing w:before="49" w:after="49"/>
              <w:rPr/>
            </w:pPr>
            <w:r>
              <w:rPr/>
            </w:r>
          </w:p>
          <w:p>
            <w:pPr>
              <w:pStyle w:val="Western"/>
              <w:spacing w:before="49" w:after="0"/>
              <w:rPr/>
            </w:pPr>
            <w:r>
              <w:rP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Судья арбитражного суда проверяет, является ли сторона гражданином, осуществляющим полномочия единоличного исполнительного органа организации. Проверка необходима для определения необходимости дальнейших проверок, связанных с п. 6 ст. 144 АПК РФ. Если «Да» - переход к шагу 11,</w:t>
            </w:r>
          </w:p>
          <w:p>
            <w:pPr>
              <w:pStyle w:val="Western"/>
              <w:spacing w:before="49" w:after="0"/>
              <w:rPr/>
            </w:pPr>
            <w:r>
              <w:rPr/>
              <w:t>Если «Нет» - переход к шагу 18</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11</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участие в боевых/военных действиях</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П. 6 ст. 144 АПК РФ: суд вправе приостановить производство в случае участия гражданина, осуществляющего полномочия единоличного исполнительного органа организации, в боевых действиях в составе ВС РФ, других войск, воинских формирований и органов, созданных в соответствии с законодательством РФ, в проведении контртеррористической операции, призыва его на военную службу по мобилизации, заключения им контракта о добровольном содействии в выполнении задач, возложенных на ВС РФ или войска национальной гвардии РФ, выполнения им задач в условиях чрезвычайного или военного положения, вооруженного конфликта.</w:t>
            </w:r>
          </w:p>
          <w:p>
            <w:pPr>
              <w:pStyle w:val="Western"/>
              <w:spacing w:before="49" w:after="49"/>
              <w:rPr/>
            </w:pPr>
            <w:r>
              <w:rPr/>
            </w:r>
          </w:p>
          <w:p>
            <w:pPr>
              <w:pStyle w:val="Western"/>
              <w:spacing w:before="49" w:after="0"/>
              <w:rPr/>
            </w:pPr>
            <w:r>
              <w:rPr/>
              <w:t>Судья арбитражного суда проверяет участие стороны в боевых или иных действиях, указанных в пункте статьи.</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12</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Лицо участвует в боевых/военных действиях?</w:t>
            </w:r>
          </w:p>
          <w:p>
            <w:pPr>
              <w:pStyle w:val="Western"/>
              <w:spacing w:before="49" w:after="49"/>
              <w:rPr/>
            </w:pPr>
            <w:r>
              <w:rPr/>
            </w:r>
          </w:p>
          <w:p>
            <w:pPr>
              <w:pStyle w:val="Western"/>
              <w:spacing w:before="49" w:after="0"/>
              <w:rPr/>
            </w:pPr>
            <w:r>
              <w:rP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Если «Да» - переход к шагу 13,</w:t>
            </w:r>
          </w:p>
          <w:p>
            <w:pPr>
              <w:pStyle w:val="Western"/>
              <w:spacing w:before="49" w:after="0"/>
              <w:rPr/>
            </w:pPr>
            <w:r>
              <w:rPr/>
              <w:t>Если «Нет» - переход к шагу 18</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13</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факт передачи полномочий по управлению организацией</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 арбитражного суда проверяет факт передачи полномочий по управлению организацией иному лицу. Если полномочия переданы иному лицу, дело не может быть приостановлено по основанию п. 6 ст. 144 АПК РФ.</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14</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Полномочия переданы?</w:t>
            </w:r>
          </w:p>
          <w:p>
            <w:pPr>
              <w:pStyle w:val="Western"/>
              <w:spacing w:before="49" w:after="49"/>
              <w:rPr/>
            </w:pPr>
            <w:r>
              <w:rPr/>
            </w:r>
          </w:p>
          <w:p>
            <w:pPr>
              <w:pStyle w:val="Western"/>
              <w:spacing w:before="49" w:after="0"/>
              <w:rPr/>
            </w:pPr>
            <w:r>
              <w:rP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Если «Да» - переход к шагу 17,</w:t>
            </w:r>
          </w:p>
          <w:p>
            <w:pPr>
              <w:pStyle w:val="Western"/>
              <w:spacing w:before="49" w:after="0"/>
              <w:rPr/>
            </w:pPr>
            <w:r>
              <w:rPr/>
              <w:t>Если «Нет» - переход к шагу 15</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15</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Рассмотрение дела возможно без участия данного лица?</w:t>
            </w:r>
          </w:p>
          <w:p>
            <w:pPr>
              <w:pStyle w:val="Western"/>
              <w:spacing w:before="49" w:after="49"/>
              <w:rPr/>
            </w:pPr>
            <w:r>
              <w:rPr/>
            </w:r>
          </w:p>
          <w:p>
            <w:pPr>
              <w:pStyle w:val="Western"/>
              <w:spacing w:before="49" w:after="0"/>
              <w:rPr/>
            </w:pPr>
            <w:r>
              <w:rP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Приостановление в силу п. 6 ст. 144 возможно в случае, если дальнейшее рассмотрение дела невозможно без участия лица, осуществляющего полномочия единоличного исполнительного органа организации.</w:t>
            </w:r>
          </w:p>
          <w:p>
            <w:pPr>
              <w:pStyle w:val="Western"/>
              <w:spacing w:before="49" w:after="49"/>
              <w:rPr/>
            </w:pPr>
            <w:r>
              <w:rPr/>
            </w:r>
          </w:p>
          <w:p>
            <w:pPr>
              <w:pStyle w:val="Western"/>
              <w:spacing w:before="49" w:after="49"/>
              <w:rPr/>
            </w:pPr>
            <w:r>
              <w:rPr/>
              <w:t>Судья определяет, возможно ли рассмотрение дела без участия данного лица.</w:t>
            </w:r>
          </w:p>
          <w:p>
            <w:pPr>
              <w:pStyle w:val="Western"/>
              <w:spacing w:before="49" w:after="49"/>
              <w:rPr/>
            </w:pPr>
            <w:r>
              <w:rPr/>
              <w:t>Если «Да» - переход к шагу 17,</w:t>
            </w:r>
          </w:p>
          <w:p>
            <w:pPr>
              <w:pStyle w:val="Western"/>
              <w:spacing w:before="49" w:after="0"/>
              <w:rPr/>
            </w:pPr>
            <w:r>
              <w:rPr/>
              <w:t>Если «Нет» - переход к шагу 16</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16</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Установить как основание для приостановления</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 устанавливает невозможность рассмотрения дела без участия лица, участвующего в военных/боевых действиях, в качестве основания для приостановления производства по делу.</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17</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Закрывающий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Закрывающий шлюз, объединяющий потоки из шагов 14, 15, 16</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18</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Закрывающий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Закрывающий шлюз, объединяющий потоки из шагов 10, 12, 17</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19</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невозможность рассмотрения дела до разрешения другого дела</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Согласно п. 1 ч. 1 ст. 143 АПК РФ, Арбитражный суд обязан приостановить производство по делу в случае невозможности рассмотрения данного дела до разрешения другого дела, рассматриваемого Конституционным Судом Российской Федерации, Верховным Судом Российской Федерации, судом общей юрисдикции. Судьей проверяется невозможность рассмотрения до разрешения дела, рассматриваемого другим судом.</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20</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участие ЛУВД в боевых/военных действиях</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Согласно п. 2 ч. 1 ст. 143 АПК РФ, Арбитражный суд обязан приостановить производство по делу в случае участия гражданина, являющегося стороной в деле, в боевых действиях в составе Вооруженных Сил Российской Федерации, других войск, воинских формирований и органов, созданных в соответствии с законодательством Российской Федерации, в проведении контртеррористической операции, призыва его на военную службу по мобилизации, заключения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выполнения им задач в условиях чрезвычайного или военного положения, вооруженного конфликта, если такой гражданин не заявил ходатайство о рассмотрении дела в его отсутствие суд обязан приостановить производство при участии гражданина-стороны в боевых действиях.</w:t>
            </w:r>
          </w:p>
          <w:p>
            <w:pPr>
              <w:pStyle w:val="Western"/>
              <w:spacing w:before="49" w:after="0"/>
              <w:rPr/>
            </w:pPr>
            <w:r>
              <w:rPr/>
              <w:t>Судья проверяет участие ЛУВД в боевых/военных действиях.</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21</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ЛУВД ходатайствовало о рассмотрении дела в свое отсутствие?</w:t>
              <w:b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п. 2 ч. 1 ст. 143 АПК РФ предусматривает возможность для гражданина заявить ходатайство о рассмотрении дела в свое отсутствие.</w:t>
            </w:r>
          </w:p>
          <w:p>
            <w:pPr>
              <w:pStyle w:val="Western"/>
              <w:spacing w:before="49" w:after="0"/>
              <w:rPr/>
            </w:pPr>
            <w:r>
              <w:rPr/>
              <w:t>Если да, то переход к шагу 23. Если нет, то переход к шагу 22</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22</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Установить как основание для приостановления</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 устанавливает невозможность рассмотрения дела без участия лица, участвующего в военных/боевых действиях, в качестве основания для приостановления производства по делу ввиду отсутствия ходатайства о рассмотрении дела в свое отсутствие.</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23</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Закрывающий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Закрывающий шлюз, объединяющий потоки из шагов 21 и 22</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24</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Установлен факт смерти стороны/третьего лица?</w:t>
              <w:b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Согласно п. 3 ч. 1 ст. 143 АПК РФ суд обязан приостановить производство при смерти гражданина-стороны или третьего лица, если спорное правоотношение допускает правопреемство.</w:t>
            </w:r>
          </w:p>
          <w:p>
            <w:pPr>
              <w:pStyle w:val="Western"/>
              <w:spacing w:before="49" w:after="0"/>
              <w:rPr/>
            </w:pPr>
            <w:r>
              <w:rPr/>
              <w:t>Если да, то переход к шагу 25. Если нет, то переход к шагу 28</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25</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допустимость правопреемства</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Судья проверяет, допускает ли спорное правоотношение правопреемство (ст. 48 АПК РФ)</w:t>
            </w:r>
          </w:p>
          <w:p>
            <w:pPr>
              <w:pStyle w:val="Western"/>
              <w:spacing w:before="49" w:after="0"/>
              <w:rPr/>
            </w:pPr>
            <w:r>
              <w:rPr/>
              <w:t>Для правопреемника все действия, совершенные в арбитражном процессе до вступления правопреемника в дело, обязательны в той мере, в какой они были обязательны для лица, которое правопреемник заменил.</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26</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Правопреемство допустимо?</w:t>
              <w:b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Если да, то переход к шагу 27.</w:t>
            </w:r>
          </w:p>
          <w:p>
            <w:pPr>
              <w:pStyle w:val="Western"/>
              <w:spacing w:before="49" w:after="0"/>
              <w:rPr/>
            </w:pPr>
            <w:r>
              <w:rPr/>
              <w:t>Если нет, то переход к шагу 28</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27</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Установить как основание для приостановления</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 устанавливает недопустимость правопреемства лица, факт смерти которого подтвержден, в качестве основания для приостановления производства по делу.</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28</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Закрывающий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Закрывающий шлюз, объединяющий потоки из шагов 24, 26 и 27</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29</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факт признания стороны недееспособной</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49"/>
              <w:rPr/>
            </w:pPr>
            <w:r>
              <w:rPr/>
              <w:t>Согласно п. 4 ч. 1 ст. 143 АПК РФ суд обязан приостановить производство при утрате гражданином-стороной дееспособности.</w:t>
            </w:r>
          </w:p>
          <w:p>
            <w:pPr>
              <w:pStyle w:val="Western"/>
              <w:spacing w:before="49" w:after="0"/>
              <w:rPr/>
            </w:pPr>
            <w:r>
              <w:rPr/>
              <w:t>Судья проверяет, является ли ЛУВД недееспособным.</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30</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Проверить иные основания, предусмотренные ФЗ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 проверяет иные основания для приостановления, предусмотренные ФЗ.</w:t>
            </w:r>
          </w:p>
        </w:tc>
      </w:tr>
      <w:tr>
        <w:trPr/>
        <w:tc>
          <w:tcPr>
            <w:tcW w:w="834"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31</w:t>
            </w:r>
          </w:p>
        </w:tc>
        <w:tc>
          <w:tcPr>
            <w:tcW w:w="1635"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Закрывающий шлюз</w:t>
            </w:r>
          </w:p>
        </w:tc>
        <w:tc>
          <w:tcPr>
            <w:tcW w:w="2133" w:type="dxa"/>
            <w:tcBorders>
              <w:top w:val="single" w:sz="4" w:space="0" w:color="000000"/>
              <w:left w:val="single" w:sz="4" w:space="0" w:color="000000"/>
              <w:bottom w:val="single" w:sz="4" w:space="0" w:color="000000"/>
              <w:right w:val="single" w:sz="4" w:space="0" w:color="000000"/>
            </w:tcBorders>
          </w:tcPr>
          <w:p>
            <w:pPr>
              <w:pStyle w:val="Western"/>
              <w:spacing w:before="0" w:after="0"/>
              <w:rPr/>
            </w:pPr>
            <w:r>
              <w:rPr/>
              <w:t>Закрывающий шлюз, объединяющий потоки из шагов 18 и 30</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32</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ТБП59. Оценить доказательства по делу</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7">
              <w:r>
                <w:rPr>
                  <w:rStyle w:val="Hyperlink"/>
                </w:rPr>
                <w:t>ТБП59. Оценить доказательства по делу</w:t>
              </w:r>
            </w:hyperlink>
            <w:r>
              <w:rPr/>
              <w:t xml:space="preserve"> </w:t>
              <w:br/>
              <w:t>Судья оценивает представленные доказательства для принятия решения о приостановлении.</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33</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Основания для приостановления установлены?</w:t>
              <w:br/>
              <w:t>Эксклюзивный шлюз</w:t>
            </w:r>
          </w:p>
        </w:tc>
        <w:tc>
          <w:tcPr>
            <w:tcW w:w="2133" w:type="dxa"/>
            <w:tcBorders>
              <w:left w:val="single" w:sz="4" w:space="0" w:color="000000"/>
              <w:bottom w:val="single" w:sz="4" w:space="0" w:color="000000"/>
              <w:right w:val="single" w:sz="4" w:space="0" w:color="000000"/>
            </w:tcBorders>
          </w:tcPr>
          <w:p>
            <w:pPr>
              <w:pStyle w:val="Western"/>
              <w:spacing w:before="0" w:after="49"/>
              <w:rPr/>
            </w:pPr>
            <w:r>
              <w:rPr/>
              <w:t>Судья делает вывод о наличии или отсутствии оснований для приостановления.</w:t>
            </w:r>
          </w:p>
          <w:p>
            <w:pPr>
              <w:pStyle w:val="Western"/>
              <w:spacing w:before="49" w:after="49"/>
              <w:rPr/>
            </w:pPr>
            <w:r>
              <w:rPr/>
              <w:t>Если да, то переход к шагу 39.</w:t>
            </w:r>
          </w:p>
          <w:p>
            <w:pPr>
              <w:pStyle w:val="Western"/>
              <w:spacing w:before="49" w:after="0"/>
              <w:rPr/>
            </w:pPr>
            <w:r>
              <w:rPr/>
              <w:t>Если нет, то переход к шагу 34</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34</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По чьей инициативе решался вопрос о приостановлении?</w:t>
              <w:br/>
              <w:t>Эксклюзивный шлюз</w:t>
            </w:r>
          </w:p>
        </w:tc>
        <w:tc>
          <w:tcPr>
            <w:tcW w:w="2133" w:type="dxa"/>
            <w:tcBorders>
              <w:left w:val="single" w:sz="4" w:space="0" w:color="000000"/>
              <w:bottom w:val="single" w:sz="4" w:space="0" w:color="000000"/>
              <w:right w:val="single" w:sz="4" w:space="0" w:color="000000"/>
            </w:tcBorders>
          </w:tcPr>
          <w:p>
            <w:pPr>
              <w:pStyle w:val="Western"/>
              <w:spacing w:before="0" w:after="49"/>
              <w:rPr/>
            </w:pPr>
            <w:r>
              <w:rPr/>
              <w:t>Вопрос необходим для решения о принятии СА по вопросу.</w:t>
            </w:r>
          </w:p>
          <w:p>
            <w:pPr>
              <w:pStyle w:val="Western"/>
              <w:spacing w:before="49" w:after="0"/>
              <w:rPr/>
            </w:pPr>
            <w:r>
              <w:rPr/>
              <w:t>Если по ходатайству стороны, то переход к шагу 36. Если По инициативе суда, то переход к шагу 35</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35</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Завершающее событие</w:t>
            </w:r>
          </w:p>
        </w:tc>
        <w:tc>
          <w:tcPr>
            <w:tcW w:w="2133" w:type="dxa"/>
            <w:tcBorders>
              <w:left w:val="single" w:sz="4" w:space="0" w:color="000000"/>
              <w:bottom w:val="single" w:sz="4" w:space="0" w:color="000000"/>
              <w:right w:val="single" w:sz="4" w:space="0" w:color="000000"/>
            </w:tcBorders>
          </w:tcPr>
          <w:p>
            <w:pPr>
              <w:pStyle w:val="Western"/>
              <w:spacing w:before="0" w:after="0"/>
              <w:rPr/>
            </w:pPr>
            <w:r>
              <w:rPr/>
              <w:t>Завершающее событие процесса при отсутствии оснований для приостановления по инициативе суда.</w:t>
            </w:r>
          </w:p>
          <w:p>
            <w:pPr>
              <w:pStyle w:val="Western"/>
              <w:spacing w:before="0" w:after="0"/>
              <w:rPr/>
            </w:pPr>
            <w:r>
              <w:rPr/>
              <w:t>Оснований для приостановления производства по делу не установлено.</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36</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Определение об отказе в приостановлении производства по делу</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ТБП80. Принять СА</w:t>
            </w:r>
          </w:p>
        </w:tc>
        <w:tc>
          <w:tcPr>
            <w:tcW w:w="2133" w:type="dxa"/>
            <w:tcBorders>
              <w:left w:val="single" w:sz="4" w:space="0" w:color="000000"/>
              <w:bottom w:val="single" w:sz="4" w:space="0" w:color="000000"/>
              <w:right w:val="single" w:sz="4" w:space="0" w:color="000000"/>
            </w:tcBorders>
          </w:tcPr>
          <w:p>
            <w:pPr>
              <w:pStyle w:val="Western"/>
              <w:spacing w:before="0" w:after="49"/>
              <w:rPr/>
            </w:pPr>
            <w:r>
              <w:rPr/>
              <w:t xml:space="preserve">Вызов </w:t>
            </w:r>
            <w:hyperlink r:id="rId8">
              <w:r>
                <w:rPr>
                  <w:rStyle w:val="Hyperlink"/>
                </w:rPr>
                <w:t>ТБП80. Принять СА</w:t>
              </w:r>
            </w:hyperlink>
          </w:p>
          <w:p>
            <w:pPr>
              <w:pStyle w:val="Western"/>
              <w:spacing w:before="49" w:after="0"/>
              <w:rPr/>
            </w:pPr>
            <w:r>
              <w:rPr/>
              <w:t>В рамках процесса судья формирует и подписывает определение об отказе в приостановлении производства по делу. В определении судья указывает основания отказа в приостановлении, выявленные в ходе проверок.</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37</w:t>
            </w:r>
          </w:p>
        </w:tc>
        <w:tc>
          <w:tcPr>
            <w:tcW w:w="1635" w:type="dxa"/>
            <w:tcBorders>
              <w:left w:val="single" w:sz="4" w:space="0" w:color="000000"/>
              <w:bottom w:val="single" w:sz="4" w:space="0" w:color="000000"/>
              <w:right w:val="single" w:sz="4" w:space="0" w:color="000000"/>
            </w:tcBorders>
          </w:tcPr>
          <w:p>
            <w:pPr>
              <w:pStyle w:val="Western"/>
              <w:spacing w:before="0" w:after="0"/>
              <w:rPr/>
            </w:pPr>
            <w:r>
              <w:rPr/>
              <w:t>Канцелярия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Определение об отказе в приостановлении производства по делу, направленное лицу</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ТБП46. Направить документ</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9">
              <w:r>
                <w:rPr>
                  <w:rStyle w:val="Hyperlink"/>
                </w:rPr>
                <w:t>ТБП46. Направить документ</w:t>
              </w:r>
            </w:hyperlink>
            <w:r>
              <w:rPr/>
              <w:t xml:space="preserve"> </w:t>
              <w:br/>
              <w:t>Копии определения направляются канцелярией лицам, участвующим в деле (ч. 1 ст. 147 АПК РФ).</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38</w:t>
            </w:r>
          </w:p>
        </w:tc>
        <w:tc>
          <w:tcPr>
            <w:tcW w:w="1635" w:type="dxa"/>
            <w:tcBorders>
              <w:left w:val="single" w:sz="4" w:space="0" w:color="000000"/>
              <w:bottom w:val="single" w:sz="4" w:space="0" w:color="000000"/>
              <w:right w:val="single" w:sz="4" w:space="0" w:color="000000"/>
            </w:tcBorders>
          </w:tcPr>
          <w:p>
            <w:pPr>
              <w:pStyle w:val="Western"/>
              <w:spacing w:before="0" w:after="0"/>
              <w:rPr/>
            </w:pPr>
            <w:r>
              <w:rPr/>
              <w:t>Канцелярия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Завершение процесса.</w:t>
            </w:r>
          </w:p>
        </w:tc>
        <w:tc>
          <w:tcPr>
            <w:tcW w:w="2133" w:type="dxa"/>
            <w:tcBorders>
              <w:left w:val="single" w:sz="4" w:space="0" w:color="000000"/>
              <w:bottom w:val="single" w:sz="4" w:space="0" w:color="000000"/>
              <w:right w:val="single" w:sz="4" w:space="0" w:color="000000"/>
            </w:tcBorders>
          </w:tcPr>
          <w:p>
            <w:pPr>
              <w:pStyle w:val="Western"/>
              <w:spacing w:before="0" w:after="0"/>
              <w:rPr/>
            </w:pPr>
            <w:r>
              <w:rPr/>
              <w:t>Определение об отказе в приостановлении производства по делу направлено ЛУВД</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39</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Какой срок приостановления необходимо указать в СА?</w:t>
              <w:br/>
              <w:t>Эксклюзивный шлюз</w:t>
            </w:r>
          </w:p>
        </w:tc>
        <w:tc>
          <w:tcPr>
            <w:tcW w:w="2133" w:type="dxa"/>
            <w:tcBorders>
              <w:left w:val="single" w:sz="4" w:space="0" w:color="000000"/>
              <w:bottom w:val="single" w:sz="4" w:space="0" w:color="000000"/>
              <w:right w:val="single" w:sz="4" w:space="0" w:color="000000"/>
            </w:tcBorders>
          </w:tcPr>
          <w:p>
            <w:pPr>
              <w:pStyle w:val="Western"/>
              <w:spacing w:before="0" w:after="0"/>
              <w:rPr/>
            </w:pPr>
            <w:r>
              <w:rPr/>
              <w:t>Судья определяет срок приостановления согласно ст. 145 АПК РФ.</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40</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Указать "до вступления в законную силу СА другого суда"</w:t>
            </w:r>
          </w:p>
        </w:tc>
        <w:tc>
          <w:tcPr>
            <w:tcW w:w="2133" w:type="dxa"/>
            <w:tcBorders>
              <w:left w:val="single" w:sz="4" w:space="0" w:color="000000"/>
              <w:bottom w:val="single" w:sz="4" w:space="0" w:color="000000"/>
              <w:right w:val="single" w:sz="4" w:space="0" w:color="000000"/>
            </w:tcBorders>
          </w:tcPr>
          <w:p>
            <w:pPr>
              <w:pStyle w:val="Western"/>
              <w:spacing w:before="0" w:after="0"/>
              <w:rPr/>
            </w:pPr>
            <w:r>
              <w:rPr/>
              <w:t>Согласно п. 1 ст. 145 АПК РФ, производство может быть приостановлено до вступления в законную силу судебного акта соответствующего суда (в случаях, предусмотренных пунктом 1 части 1 статьи 143 и пунктом 5 статьи 144)</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41</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Указать "до устранения обстоятельств, послуживших основанием"</w:t>
            </w:r>
          </w:p>
        </w:tc>
        <w:tc>
          <w:tcPr>
            <w:tcW w:w="2133" w:type="dxa"/>
            <w:tcBorders>
              <w:left w:val="single" w:sz="4" w:space="0" w:color="000000"/>
              <w:bottom w:val="single" w:sz="4" w:space="0" w:color="000000"/>
              <w:right w:val="single" w:sz="4" w:space="0" w:color="000000"/>
            </w:tcBorders>
          </w:tcPr>
          <w:p>
            <w:pPr>
              <w:pStyle w:val="Western"/>
              <w:spacing w:before="0" w:after="0"/>
              <w:rPr/>
            </w:pPr>
            <w:r>
              <w:rPr/>
              <w:t>Согласно п. 2 ст. 145 АПК РФ производство может быть приостановлено до устранения обстоятельств (боевые действия, командировка, лечение и т. п. - пункт 2 части 1 статьи 143 и пункты 4 и 6 статьи 144 ).</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42</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Указать "до определения правопреемника стороны"</w:t>
            </w:r>
          </w:p>
        </w:tc>
        <w:tc>
          <w:tcPr>
            <w:tcW w:w="2133" w:type="dxa"/>
            <w:tcBorders>
              <w:left w:val="single" w:sz="4" w:space="0" w:color="000000"/>
              <w:bottom w:val="single" w:sz="4" w:space="0" w:color="000000"/>
              <w:right w:val="single" w:sz="4" w:space="0" w:color="000000"/>
            </w:tcBorders>
          </w:tcPr>
          <w:p>
            <w:pPr>
              <w:pStyle w:val="Western"/>
              <w:spacing w:before="0" w:after="0"/>
              <w:rPr/>
            </w:pPr>
            <w:r>
              <w:rPr/>
              <w:t>Согласно п. 3 ст. 145 АПК РФ производство может быть приостановлено до определения правопреемника лица, участвующего в деле (пункт 3 и 4 части 1 статьи 143)</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43</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Указать "до назначения недееспособному лицу представителя"</w:t>
            </w:r>
          </w:p>
        </w:tc>
        <w:tc>
          <w:tcPr>
            <w:tcW w:w="2133" w:type="dxa"/>
            <w:tcBorders>
              <w:left w:val="single" w:sz="4" w:space="0" w:color="000000"/>
              <w:bottom w:val="single" w:sz="4" w:space="0" w:color="000000"/>
              <w:right w:val="single" w:sz="4" w:space="0" w:color="000000"/>
            </w:tcBorders>
          </w:tcPr>
          <w:p>
            <w:pPr>
              <w:pStyle w:val="Western"/>
              <w:spacing w:before="0" w:after="0"/>
              <w:rPr/>
            </w:pPr>
            <w:r>
              <w:rPr/>
              <w:t>Согласно п. 3 ст. 145 АПК РФ производство может быть приостановлено до назначения представителя (пункт 2 статьи 144)</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44</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Указать "до истечения срока, установленного АС"</w:t>
            </w:r>
          </w:p>
        </w:tc>
        <w:tc>
          <w:tcPr>
            <w:tcW w:w="2133" w:type="dxa"/>
            <w:tcBorders>
              <w:left w:val="single" w:sz="4" w:space="0" w:color="000000"/>
              <w:bottom w:val="single" w:sz="4" w:space="0" w:color="000000"/>
              <w:right w:val="single" w:sz="4" w:space="0" w:color="000000"/>
            </w:tcBorders>
          </w:tcPr>
          <w:p>
            <w:pPr>
              <w:pStyle w:val="Western"/>
              <w:spacing w:before="0" w:after="0"/>
              <w:rPr/>
            </w:pPr>
            <w:r>
              <w:rPr/>
              <w:t>Согласно п. 4 ст. 145 АПК РФ при назначении экспертизы (пункт 1 статьи 144) производство приостанавливается до истечения срока, установленного судом.</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45</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Закрывающий шлюз</w:t>
            </w:r>
          </w:p>
        </w:tc>
        <w:tc>
          <w:tcPr>
            <w:tcW w:w="2133" w:type="dxa"/>
            <w:tcBorders>
              <w:left w:val="single" w:sz="4" w:space="0" w:color="000000"/>
              <w:bottom w:val="single" w:sz="4" w:space="0" w:color="000000"/>
              <w:right w:val="single" w:sz="4" w:space="0" w:color="000000"/>
            </w:tcBorders>
          </w:tcPr>
          <w:p>
            <w:pPr>
              <w:pStyle w:val="Western"/>
              <w:spacing w:before="0" w:after="0"/>
              <w:rPr/>
            </w:pPr>
            <w:r>
              <w:rPr/>
              <w:t>Закрывающий шлюз, объединяющий потоки из шагов 40, 41, 42, 43, 44</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46</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Определение о приостановлении производства по делу (жалобе)</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ТБП80.Принять СА</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10">
              <w:r>
                <w:rPr>
                  <w:rStyle w:val="Hyperlink"/>
                </w:rPr>
                <w:t>ТБП80.Принять СА</w:t>
              </w:r>
            </w:hyperlink>
            <w:r>
              <w:rPr/>
              <w:t xml:space="preserve"> </w:t>
              <w:br/>
              <w:t>В рамках процесса судья формирует и подписывает Определение о приостановлении производства по делу. В определении судья указывает определенный ранее срок приостановления и основания приостановления.</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47</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Система</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Приостановить отсчет процессуального срока по делу</w:t>
            </w:r>
          </w:p>
        </w:tc>
        <w:tc>
          <w:tcPr>
            <w:tcW w:w="2133" w:type="dxa"/>
            <w:tcBorders>
              <w:left w:val="single" w:sz="4" w:space="0" w:color="000000"/>
              <w:bottom w:val="single" w:sz="4" w:space="0" w:color="000000"/>
              <w:right w:val="single" w:sz="4" w:space="0" w:color="000000"/>
            </w:tcBorders>
          </w:tcPr>
          <w:p>
            <w:pPr>
              <w:pStyle w:val="Western"/>
              <w:spacing w:before="0" w:after="0"/>
              <w:rPr/>
            </w:pPr>
            <w:r>
              <w:rPr/>
              <w:t>Течение процессуальных сроков приостанавливается системой в автоматическом режиме на период приостановления производства.</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48</w:t>
            </w:r>
          </w:p>
        </w:tc>
        <w:tc>
          <w:tcPr>
            <w:tcW w:w="1635" w:type="dxa"/>
            <w:tcBorders>
              <w:left w:val="single" w:sz="4" w:space="0" w:color="000000"/>
              <w:bottom w:val="single" w:sz="4" w:space="0" w:color="000000"/>
              <w:right w:val="single" w:sz="4" w:space="0" w:color="000000"/>
            </w:tcBorders>
          </w:tcPr>
          <w:p>
            <w:pPr>
              <w:pStyle w:val="Western"/>
              <w:spacing w:before="0" w:after="0"/>
              <w:rPr/>
            </w:pPr>
            <w:r>
              <w:rPr/>
              <w:t>Канцелярия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Определение о приостановлении производства по делу (жалобе), направленное лицам</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ТБП46. Направить документ</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11">
              <w:r>
                <w:rPr>
                  <w:rStyle w:val="Hyperlink"/>
                </w:rPr>
                <w:t>ТБП46. Направить документ</w:t>
              </w:r>
            </w:hyperlink>
            <w:r>
              <w:rPr/>
              <w:t xml:space="preserve"> </w:t>
              <w:br/>
              <w:t>Копии определения направляются канцелярией лицам, участвующим в деле (ч. 1 ст. 147 АПК РФ).</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49</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Закрывающий шлюз.</w:t>
            </w:r>
          </w:p>
        </w:tc>
        <w:tc>
          <w:tcPr>
            <w:tcW w:w="2133" w:type="dxa"/>
            <w:tcBorders>
              <w:left w:val="single" w:sz="4" w:space="0" w:color="000000"/>
              <w:bottom w:val="single" w:sz="4" w:space="0" w:color="000000"/>
              <w:right w:val="single" w:sz="4" w:space="0" w:color="000000"/>
            </w:tcBorders>
          </w:tcPr>
          <w:p>
            <w:pPr>
              <w:pStyle w:val="Western"/>
              <w:spacing w:before="0" w:after="0"/>
              <w:rPr/>
            </w:pPr>
            <w:r>
              <w:rPr/>
              <w:t>Закрывающий шлюз, объединяющий потоки из шагов 48 и 74</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50</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Закрывающий шлюз.</w:t>
            </w:r>
          </w:p>
        </w:tc>
        <w:tc>
          <w:tcPr>
            <w:tcW w:w="2133" w:type="dxa"/>
            <w:tcBorders>
              <w:left w:val="single" w:sz="4" w:space="0" w:color="000000"/>
              <w:bottom w:val="single" w:sz="4" w:space="0" w:color="000000"/>
              <w:right w:val="single" w:sz="4" w:space="0" w:color="000000"/>
            </w:tcBorders>
          </w:tcPr>
          <w:p>
            <w:pPr>
              <w:pStyle w:val="Western"/>
              <w:spacing w:before="0" w:after="0"/>
              <w:rPr/>
            </w:pPr>
            <w:r>
              <w:rPr/>
              <w:t>Закрывающий шлюз, объединяющий потоки из шагов 4</w:t>
            </w:r>
            <w:r>
              <w:rPr>
                <w:lang w:val="en-US"/>
              </w:rPr>
              <w:t>9</w:t>
            </w:r>
            <w:r>
              <w:rPr/>
              <w:t xml:space="preserve"> и </w:t>
            </w:r>
            <w:r>
              <w:rPr>
                <w:lang w:val="en-US"/>
              </w:rPr>
              <w:t>59</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51</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Отслеживать   устранение обстоятельств, вызвавших приостановление дела</w:t>
            </w:r>
          </w:p>
        </w:tc>
        <w:tc>
          <w:tcPr>
            <w:tcW w:w="2133" w:type="dxa"/>
            <w:tcBorders>
              <w:left w:val="single" w:sz="4" w:space="0" w:color="000000"/>
              <w:bottom w:val="single" w:sz="4" w:space="0" w:color="000000"/>
              <w:right w:val="single" w:sz="4" w:space="0" w:color="000000"/>
            </w:tcBorders>
          </w:tcPr>
          <w:p>
            <w:pPr>
              <w:pStyle w:val="Western"/>
              <w:spacing w:before="0" w:after="0"/>
              <w:rPr/>
            </w:pPr>
            <w:r>
              <w:rPr/>
              <w:t>Судья или помощник судьи отслеживает устранение обстоятельств, вызвавших приостановление,</w:t>
            </w:r>
            <w:r>
              <w:rPr>
                <w:lang w:val="en-US"/>
              </w:rPr>
              <w:t xml:space="preserve"> в</w:t>
            </w:r>
            <w:r>
              <w:rPr>
                <w:lang w:val="ru-RU"/>
              </w:rPr>
              <w:t xml:space="preserve"> </w:t>
            </w:r>
            <w:r>
              <w:rPr/>
              <w:t>течение срока приостановления, указанного в определении</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52</w:t>
            </w:r>
          </w:p>
        </w:tc>
        <w:tc>
          <w:tcPr>
            <w:tcW w:w="1635" w:type="dxa"/>
            <w:tcBorders>
              <w:left w:val="single" w:sz="4" w:space="0" w:color="000000"/>
              <w:bottom w:val="single" w:sz="4" w:space="0" w:color="000000"/>
              <w:right w:val="single" w:sz="4" w:space="0" w:color="000000"/>
            </w:tcBorders>
          </w:tcPr>
          <w:p>
            <w:pPr>
              <w:pStyle w:val="Western"/>
              <w:spacing w:before="0" w:after="0"/>
              <w:rPr/>
            </w:pPr>
            <w:r>
              <w:rPr/>
              <w:t>Канцелярия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Ходатайство о возобновлении производства</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Поступило ходатайство</w:t>
              <w:br/>
              <w:t>Стартовое событие</w:t>
            </w:r>
          </w:p>
        </w:tc>
        <w:tc>
          <w:tcPr>
            <w:tcW w:w="2133" w:type="dxa"/>
            <w:tcBorders>
              <w:left w:val="single" w:sz="4" w:space="0" w:color="000000"/>
              <w:bottom w:val="single" w:sz="4" w:space="0" w:color="000000"/>
              <w:right w:val="single" w:sz="4" w:space="0" w:color="000000"/>
            </w:tcBorders>
          </w:tcPr>
          <w:p>
            <w:pPr>
              <w:pStyle w:val="Western"/>
              <w:spacing w:before="0" w:after="0"/>
              <w:rPr/>
            </w:pPr>
            <w:r>
              <w:rPr/>
              <w:t>Канцелярия получает ходатайство о возобновлении производства</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53</w:t>
            </w:r>
          </w:p>
        </w:tc>
        <w:tc>
          <w:tcPr>
            <w:tcW w:w="1635" w:type="dxa"/>
            <w:tcBorders>
              <w:left w:val="single" w:sz="4" w:space="0" w:color="000000"/>
              <w:bottom w:val="single" w:sz="4" w:space="0" w:color="000000"/>
              <w:right w:val="single" w:sz="4" w:space="0" w:color="000000"/>
            </w:tcBorders>
          </w:tcPr>
          <w:p>
            <w:pPr>
              <w:pStyle w:val="Western"/>
              <w:spacing w:before="0" w:after="0"/>
              <w:rPr/>
            </w:pPr>
            <w:r>
              <w:rPr/>
              <w:t>Канцелярия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Ходатайство о возобновлении производства</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ТБП53. Принять входящий документ</w:t>
            </w:r>
          </w:p>
        </w:tc>
        <w:tc>
          <w:tcPr>
            <w:tcW w:w="2133" w:type="dxa"/>
            <w:tcBorders>
              <w:left w:val="single" w:sz="4" w:space="0" w:color="000000"/>
              <w:bottom w:val="single" w:sz="4" w:space="0" w:color="000000"/>
              <w:right w:val="single" w:sz="4" w:space="0" w:color="000000"/>
            </w:tcBorders>
          </w:tcPr>
          <w:p>
            <w:pPr>
              <w:pStyle w:val="Western"/>
              <w:spacing w:before="0" w:after="49"/>
              <w:rPr/>
            </w:pPr>
            <w:r>
              <w:rPr/>
              <w:t xml:space="preserve">Вызов </w:t>
            </w:r>
            <w:hyperlink r:id="rId12">
              <w:r>
                <w:rPr>
                  <w:rStyle w:val="Hyperlink"/>
                </w:rPr>
                <w:t>ТБП53. Принять входящий документ</w:t>
              </w:r>
            </w:hyperlink>
            <w:r>
              <w:rPr/>
              <w:t xml:space="preserve"> ,в рамках которого канцелярия выполняет все необходимые действия для регистрации документа в системе.</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54</w:t>
            </w:r>
          </w:p>
        </w:tc>
        <w:tc>
          <w:tcPr>
            <w:tcW w:w="1635" w:type="dxa"/>
            <w:tcBorders>
              <w:left w:val="single" w:sz="4" w:space="0" w:color="000000"/>
              <w:bottom w:val="single" w:sz="4" w:space="0" w:color="000000"/>
              <w:right w:val="single" w:sz="4" w:space="0" w:color="000000"/>
            </w:tcBorders>
          </w:tcPr>
          <w:p>
            <w:pPr>
              <w:pStyle w:val="Western"/>
              <w:spacing w:before="0" w:after="0"/>
              <w:rPr/>
            </w:pPr>
            <w:r>
              <w:rPr/>
              <w:t>Канцелярия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Ходатайство о возобновлении производства</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ТБП12. Передать дело/документ судье</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13">
              <w:r>
                <w:rPr>
                  <w:rStyle w:val="Hyperlink"/>
                </w:rPr>
                <w:t>ТБП12. Передать дело/документ судье</w:t>
              </w:r>
            </w:hyperlink>
            <w:r>
              <w:rPr/>
              <w:t xml:space="preserve"> , в рамках которого канцелярия направляет зарегистрированное в системе ходатайство судье.</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55</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Закрывающий шлюз.</w:t>
            </w:r>
          </w:p>
        </w:tc>
        <w:tc>
          <w:tcPr>
            <w:tcW w:w="2133" w:type="dxa"/>
            <w:tcBorders>
              <w:left w:val="single" w:sz="4" w:space="0" w:color="000000"/>
              <w:bottom w:val="single" w:sz="4" w:space="0" w:color="000000"/>
              <w:right w:val="single" w:sz="4" w:space="0" w:color="000000"/>
            </w:tcBorders>
          </w:tcPr>
          <w:p>
            <w:pPr>
              <w:pStyle w:val="Western"/>
              <w:spacing w:before="0" w:after="0"/>
              <w:rPr/>
            </w:pPr>
            <w:r>
              <w:rPr/>
              <w:t>Закрывающий шлюз, объединяющий потоки из шагов 51 и 54</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56</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Проверить устранение обстоятельств, вызвавших приостановление дела</w:t>
            </w:r>
          </w:p>
        </w:tc>
        <w:tc>
          <w:tcPr>
            <w:tcW w:w="2133" w:type="dxa"/>
            <w:tcBorders>
              <w:left w:val="single" w:sz="4" w:space="0" w:color="000000"/>
              <w:bottom w:val="single" w:sz="4" w:space="0" w:color="000000"/>
              <w:right w:val="single" w:sz="4" w:space="0" w:color="000000"/>
            </w:tcBorders>
          </w:tcPr>
          <w:p>
            <w:pPr>
              <w:pStyle w:val="Western"/>
              <w:spacing w:before="0" w:after="0"/>
              <w:rPr/>
            </w:pPr>
            <w:r>
              <w:rPr/>
              <w:t>Судья проверяет, устранены ли обстоятельства, вызвавшие приостановление, указанные в определении, в связи с окончанием срока приостановления/поступлением ходатайства.</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57</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Обстоятельства устранены?</w:t>
              <w:br/>
              <w:t>Эксклюзивный шлюз</w:t>
            </w:r>
          </w:p>
        </w:tc>
        <w:tc>
          <w:tcPr>
            <w:tcW w:w="2133" w:type="dxa"/>
            <w:tcBorders>
              <w:left w:val="single" w:sz="4" w:space="0" w:color="000000"/>
              <w:bottom w:val="single" w:sz="4" w:space="0" w:color="000000"/>
              <w:right w:val="single" w:sz="4" w:space="0" w:color="000000"/>
            </w:tcBorders>
          </w:tcPr>
          <w:p>
            <w:pPr>
              <w:pStyle w:val="Western"/>
              <w:spacing w:before="0" w:after="49"/>
              <w:rPr/>
            </w:pPr>
            <w:r>
              <w:rPr/>
              <w:t>Судья оценивает факт устранения обстоятельств.</w:t>
            </w:r>
          </w:p>
          <w:p>
            <w:pPr>
              <w:pStyle w:val="Western"/>
              <w:spacing w:before="49" w:after="0"/>
              <w:rPr/>
            </w:pPr>
            <w:r>
              <w:rPr/>
              <w:t>Если да, то переход к шагу 68. Если нет, то переход к шагу 58</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58</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Проверить поступление ходатайства о возобновлении</w:t>
            </w:r>
          </w:p>
        </w:tc>
        <w:tc>
          <w:tcPr>
            <w:tcW w:w="2133" w:type="dxa"/>
            <w:tcBorders>
              <w:left w:val="single" w:sz="4" w:space="0" w:color="000000"/>
              <w:bottom w:val="single" w:sz="4" w:space="0" w:color="000000"/>
              <w:right w:val="single" w:sz="4" w:space="0" w:color="000000"/>
            </w:tcBorders>
          </w:tcPr>
          <w:p>
            <w:pPr>
              <w:pStyle w:val="Western"/>
              <w:spacing w:before="0" w:after="0"/>
              <w:rPr/>
            </w:pPr>
            <w:r>
              <w:rPr/>
              <w:t>Судья проверяет наличие ходатайства о возобновлении производства от стороны, поданного до истечения срока приостановления, указанного в определении.</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59</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Поступило ходатайство о возобновлении производства от лица, ходатайствовавшего о приостановлении?</w:t>
              <w:br/>
              <w:t>Эксклюзивный шлюз</w:t>
            </w:r>
          </w:p>
        </w:tc>
        <w:tc>
          <w:tcPr>
            <w:tcW w:w="2133" w:type="dxa"/>
            <w:tcBorders>
              <w:left w:val="single" w:sz="4" w:space="0" w:color="000000"/>
              <w:bottom w:val="single" w:sz="4" w:space="0" w:color="000000"/>
              <w:right w:val="single" w:sz="4" w:space="0" w:color="000000"/>
            </w:tcBorders>
          </w:tcPr>
          <w:p>
            <w:pPr>
              <w:pStyle w:val="Western"/>
              <w:spacing w:before="0" w:after="49"/>
              <w:rPr/>
            </w:pPr>
            <w:r>
              <w:rPr/>
              <w:t>Судья проверяет, поступило ли ходатайство.</w:t>
            </w:r>
          </w:p>
          <w:p>
            <w:pPr>
              <w:pStyle w:val="Western"/>
              <w:spacing w:before="49" w:afterAutospacing="0" w:after="240"/>
              <w:rPr/>
            </w:pPr>
            <w:r>
              <w:rPr/>
              <w:t>Если да, то переход к шагу 60. Если нет, то переход к шагу 50</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60</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 </w:t>
            </w:r>
            <w:r>
              <w:rPr/>
              <w:t>Определить необходимость проведения СЗ</w:t>
            </w:r>
          </w:p>
        </w:tc>
        <w:tc>
          <w:tcPr>
            <w:tcW w:w="2133" w:type="dxa"/>
            <w:tcBorders>
              <w:left w:val="single" w:sz="4" w:space="0" w:color="000000"/>
              <w:bottom w:val="single" w:sz="4" w:space="0" w:color="000000"/>
              <w:right w:val="single" w:sz="4" w:space="0" w:color="000000"/>
            </w:tcBorders>
          </w:tcPr>
          <w:p>
            <w:pPr>
              <w:pStyle w:val="Western"/>
              <w:spacing w:before="0" w:after="49"/>
              <w:rPr/>
            </w:pPr>
            <w:r>
              <w:rPr/>
              <w:t>Судья определяет, необходимо ли проводить судебное заседание по вопросу возобновления производства.</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61</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Для решения вопроса о возобновлении необходимо назначить СЗ?</w:t>
              <w:br/>
              <w:t>Эксклюзивный шлюз</w:t>
            </w:r>
          </w:p>
        </w:tc>
        <w:tc>
          <w:tcPr>
            <w:tcW w:w="2133" w:type="dxa"/>
            <w:tcBorders>
              <w:left w:val="single" w:sz="4" w:space="0" w:color="000000"/>
              <w:bottom w:val="single" w:sz="4" w:space="0" w:color="000000"/>
              <w:right w:val="single" w:sz="4" w:space="0" w:color="000000"/>
            </w:tcBorders>
          </w:tcPr>
          <w:p>
            <w:pPr>
              <w:pStyle w:val="Western"/>
              <w:spacing w:before="49" w:after="0"/>
              <w:rPr/>
            </w:pPr>
            <w:r>
              <w:rPr/>
              <w:t>Если да, то переход к шагу 62. Если нет, то переход к шагу 65</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62</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ТБП44. Назначить СЗ</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14">
              <w:r>
                <w:rPr>
                  <w:rStyle w:val="Hyperlink"/>
                </w:rPr>
                <w:t>ТБП44. Назначить СЗ</w:t>
              </w:r>
            </w:hyperlink>
            <w:r>
              <w:rPr/>
              <w:t xml:space="preserve"> , в рамках которого определяется дата, время и место проведения СЗ с последующим направлением данных лицам, участвующим в деле.</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63</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ТБП66. Подготовиться к СЗ</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15">
              <w:r>
                <w:rPr>
                  <w:rStyle w:val="Hyperlink"/>
                </w:rPr>
                <w:t>ТБП66. Подготовиться к СЗ</w:t>
              </w:r>
            </w:hyperlink>
            <w:r>
              <w:rPr/>
              <w:t xml:space="preserve"> , в рамках которого происходят подготовительные действия, необходимые для полноценного проведения СЗ.</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64</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ТБП68. Провести СЗ</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16">
              <w:r>
                <w:rPr>
                  <w:rStyle w:val="Hyperlink"/>
                </w:rPr>
                <w:t>ТБП68. Провести СЗ</w:t>
              </w:r>
            </w:hyperlink>
            <w:r>
              <w:rPr/>
              <w:t xml:space="preserve"> , в рамках которого осуществляются все процессуальные действия, предусмотренные законодательством в процессе проведения судебного заседания.</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65</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Закрывающий шлюз.</w:t>
            </w:r>
          </w:p>
        </w:tc>
        <w:tc>
          <w:tcPr>
            <w:tcW w:w="2133" w:type="dxa"/>
            <w:tcBorders>
              <w:left w:val="single" w:sz="4" w:space="0" w:color="000000"/>
              <w:bottom w:val="single" w:sz="4" w:space="0" w:color="000000"/>
              <w:right w:val="single" w:sz="4" w:space="0" w:color="000000"/>
            </w:tcBorders>
          </w:tcPr>
          <w:p>
            <w:pPr>
              <w:pStyle w:val="Western"/>
              <w:spacing w:before="0" w:after="0"/>
              <w:rPr/>
            </w:pPr>
            <w:r>
              <w:rPr/>
              <w:t>Закрывающий шлюз, объединяющий потоки из шагов 61 и 64</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66</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ТБП135. Рассмотреть заявление по существу</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17">
              <w:r>
                <w:rPr>
                  <w:rStyle w:val="Hyperlink"/>
                </w:rPr>
                <w:t>ТБП135. Рассмотреть заявление по существу</w:t>
              </w:r>
            </w:hyperlink>
            <w:r>
              <w:rPr/>
              <w:t xml:space="preserve"> </w:t>
              <w:br/>
              <w:t>Судья рассматривает ходатайство о возобновлении производства по существу для окончательного решения об устранении обстоятельств и возможности возобновления.</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67</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Возобновление возможно?</w:t>
              <w:br/>
              <w:t>Эксклюзивный шлюз</w:t>
            </w:r>
          </w:p>
        </w:tc>
        <w:tc>
          <w:tcPr>
            <w:tcW w:w="2133" w:type="dxa"/>
            <w:tcBorders>
              <w:left w:val="single" w:sz="4" w:space="0" w:color="000000"/>
              <w:bottom w:val="single" w:sz="4" w:space="0" w:color="000000"/>
              <w:right w:val="single" w:sz="4" w:space="0" w:color="000000"/>
            </w:tcBorders>
          </w:tcPr>
          <w:p>
            <w:pPr>
              <w:pStyle w:val="Western"/>
              <w:spacing w:before="0" w:after="49"/>
              <w:rPr/>
            </w:pPr>
            <w:r>
              <w:rPr/>
              <w:t>Судья принимает решение о возобновлении или об отказе.</w:t>
            </w:r>
          </w:p>
          <w:p>
            <w:pPr>
              <w:pStyle w:val="Western"/>
              <w:spacing w:before="49" w:after="0"/>
              <w:rPr/>
            </w:pPr>
            <w:r>
              <w:rPr/>
              <w:t>Если да, то переход к шагу 68. Если нет, то переход к шагу 73</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68</w:t>
            </w:r>
          </w:p>
        </w:tc>
        <w:tc>
          <w:tcPr>
            <w:tcW w:w="1635" w:type="dxa"/>
            <w:tcBorders>
              <w:left w:val="single" w:sz="4" w:space="0" w:color="000000"/>
              <w:bottom w:val="single" w:sz="4" w:space="0" w:color="000000"/>
              <w:right w:val="single" w:sz="4" w:space="0" w:color="000000"/>
            </w:tcBorders>
          </w:tcPr>
          <w:p>
            <w:pPr>
              <w:pStyle w:val="Western"/>
              <w:spacing w:before="0" w:after="0"/>
              <w:rPr/>
            </w:pPr>
            <w:r>
              <w:rPr/>
            </w:r>
          </w:p>
        </w:tc>
        <w:tc>
          <w:tcPr>
            <w:tcW w:w="1326" w:type="dxa"/>
            <w:tcBorders>
              <w:left w:val="single" w:sz="4" w:space="0" w:color="000000"/>
              <w:bottom w:val="single" w:sz="4" w:space="0" w:color="000000"/>
              <w:right w:val="single" w:sz="4" w:space="0" w:color="000000"/>
            </w:tcBorders>
          </w:tcPr>
          <w:p>
            <w:pPr>
              <w:pStyle w:val="Western"/>
              <w:spacing w:before="0" w:after="0"/>
              <w:rPr/>
            </w:pPr>
            <w:r>
              <w:rPr/>
            </w:r>
          </w:p>
        </w:tc>
        <w:tc>
          <w:tcPr>
            <w:tcW w:w="1631" w:type="dxa"/>
            <w:tcBorders>
              <w:left w:val="single" w:sz="4" w:space="0" w:color="000000"/>
              <w:bottom w:val="single" w:sz="4" w:space="0" w:color="000000"/>
              <w:right w:val="single" w:sz="4" w:space="0" w:color="000000"/>
            </w:tcBorders>
          </w:tcPr>
          <w:p>
            <w:pPr>
              <w:pStyle w:val="Western"/>
              <w:spacing w:before="0" w:after="0"/>
              <w:rPr/>
            </w:pPr>
            <w:r>
              <w:rPr/>
            </w:r>
          </w:p>
        </w:tc>
        <w:tc>
          <w:tcPr>
            <w:tcW w:w="1790" w:type="dxa"/>
            <w:tcBorders>
              <w:left w:val="single" w:sz="4" w:space="0" w:color="000000"/>
              <w:bottom w:val="single" w:sz="4" w:space="0" w:color="000000"/>
              <w:right w:val="single" w:sz="4" w:space="0" w:color="000000"/>
            </w:tcBorders>
          </w:tcPr>
          <w:p>
            <w:pPr>
              <w:pStyle w:val="Western"/>
              <w:spacing w:before="0" w:after="0"/>
              <w:rPr/>
            </w:pPr>
            <w:r>
              <w:rPr/>
              <w:t>Закрывающий шлюз.</w:t>
            </w:r>
          </w:p>
        </w:tc>
        <w:tc>
          <w:tcPr>
            <w:tcW w:w="2133" w:type="dxa"/>
            <w:tcBorders>
              <w:left w:val="single" w:sz="4" w:space="0" w:color="000000"/>
              <w:bottom w:val="single" w:sz="4" w:space="0" w:color="000000"/>
              <w:right w:val="single" w:sz="4" w:space="0" w:color="000000"/>
            </w:tcBorders>
          </w:tcPr>
          <w:p>
            <w:pPr>
              <w:pStyle w:val="Western"/>
              <w:spacing w:before="0" w:after="0"/>
              <w:rPr/>
            </w:pPr>
            <w:r>
              <w:rPr/>
              <w:t>Закрывающий шлюз, объединяющий потоки из шагов 57 и 67</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69</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Определение о возобновлении производства по делу</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ТБП80. Принять СА</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18">
              <w:r>
                <w:rPr>
                  <w:rStyle w:val="Hyperlink"/>
                </w:rPr>
                <w:t>ТБП80. Принять СА</w:t>
              </w:r>
            </w:hyperlink>
            <w:r>
              <w:rPr/>
              <w:t xml:space="preserve"> </w:t>
              <w:br/>
              <w:br/>
              <w:t>Согласно ч. 1 ст. 147 АПК РФ о возобновлении производства суд выносит определение. В рамках процесса судья формирует и подписывает Определение о возобновлении производства по делу с указанием даты возобновления.</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70</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Система</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Возобновить течение сроков</w:t>
            </w:r>
          </w:p>
        </w:tc>
        <w:tc>
          <w:tcPr>
            <w:tcW w:w="2133" w:type="dxa"/>
            <w:tcBorders>
              <w:left w:val="single" w:sz="4" w:space="0" w:color="000000"/>
              <w:bottom w:val="single" w:sz="4" w:space="0" w:color="000000"/>
              <w:right w:val="single" w:sz="4" w:space="0" w:color="000000"/>
            </w:tcBorders>
          </w:tcPr>
          <w:p>
            <w:pPr>
              <w:pStyle w:val="Western"/>
              <w:spacing w:before="0" w:after="0"/>
              <w:rPr/>
            </w:pPr>
            <w:r>
              <w:rPr/>
              <w:t>Система возобновляет течение процессуальных сроков.</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71</w:t>
            </w:r>
          </w:p>
        </w:tc>
        <w:tc>
          <w:tcPr>
            <w:tcW w:w="1635" w:type="dxa"/>
            <w:tcBorders>
              <w:left w:val="single" w:sz="4" w:space="0" w:color="000000"/>
              <w:bottom w:val="single" w:sz="4" w:space="0" w:color="000000"/>
              <w:right w:val="single" w:sz="4" w:space="0" w:color="000000"/>
            </w:tcBorders>
          </w:tcPr>
          <w:p>
            <w:pPr>
              <w:pStyle w:val="Western"/>
              <w:spacing w:before="0" w:after="0"/>
              <w:rPr/>
            </w:pPr>
            <w:r>
              <w:rPr/>
              <w:t>Канцелярия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Определение о возобновлении производства по делу</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ТБП46. Направить документ</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19">
              <w:r>
                <w:rPr>
                  <w:rStyle w:val="Hyperlink"/>
                </w:rPr>
                <w:t>ТБП46. Направить документ</w:t>
              </w:r>
            </w:hyperlink>
            <w:r>
              <w:rPr/>
              <w:t xml:space="preserve"> </w:t>
              <w:br/>
              <w:t>Определение о возобновлении производства по делу  направляется канцелярией ЛУВД на ознакомление.</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72</w:t>
            </w:r>
          </w:p>
        </w:tc>
        <w:tc>
          <w:tcPr>
            <w:tcW w:w="1635" w:type="dxa"/>
            <w:tcBorders>
              <w:left w:val="single" w:sz="4" w:space="0" w:color="000000"/>
              <w:bottom w:val="single" w:sz="4" w:space="0" w:color="000000"/>
              <w:right w:val="single" w:sz="4" w:space="0" w:color="000000"/>
            </w:tcBorders>
          </w:tcPr>
          <w:p>
            <w:pPr>
              <w:pStyle w:val="Western"/>
              <w:spacing w:before="0" w:after="0"/>
              <w:rPr/>
            </w:pPr>
            <w:r>
              <w:rPr/>
              <w:t>Канцелярия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Завершение процесса.</w:t>
            </w:r>
          </w:p>
        </w:tc>
        <w:tc>
          <w:tcPr>
            <w:tcW w:w="2133" w:type="dxa"/>
            <w:tcBorders>
              <w:left w:val="single" w:sz="4" w:space="0" w:color="000000"/>
              <w:bottom w:val="single" w:sz="4" w:space="0" w:color="000000"/>
              <w:right w:val="single" w:sz="4" w:space="0" w:color="000000"/>
            </w:tcBorders>
          </w:tcPr>
          <w:p>
            <w:pPr>
              <w:pStyle w:val="Western"/>
              <w:spacing w:before="0" w:after="0"/>
              <w:rPr/>
            </w:pPr>
            <w:r>
              <w:rPr/>
              <w:t>Завершение процесса. Производство по делу возобновлено.</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73</w:t>
            </w:r>
          </w:p>
        </w:tc>
        <w:tc>
          <w:tcPr>
            <w:tcW w:w="1635" w:type="dxa"/>
            <w:tcBorders>
              <w:left w:val="single" w:sz="4" w:space="0" w:color="000000"/>
              <w:bottom w:val="single" w:sz="4" w:space="0" w:color="000000"/>
              <w:right w:val="single" w:sz="4" w:space="0" w:color="000000"/>
            </w:tcBorders>
          </w:tcPr>
          <w:p>
            <w:pPr>
              <w:pStyle w:val="Western"/>
              <w:spacing w:before="0" w:after="0"/>
              <w:rPr/>
            </w:pPr>
            <w:r>
              <w:rPr/>
              <w:t>Судья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Определение об отказе в возобновлении производства по делу</w:t>
            </w:r>
          </w:p>
        </w:tc>
        <w:tc>
          <w:tcPr>
            <w:tcW w:w="1790" w:type="dxa"/>
            <w:tcBorders>
              <w:left w:val="single" w:sz="4" w:space="0" w:color="000000"/>
              <w:bottom w:val="single" w:sz="4" w:space="0" w:color="000000"/>
              <w:right w:val="single" w:sz="4" w:space="0" w:color="000000"/>
            </w:tcBorders>
          </w:tcPr>
          <w:p>
            <w:pPr>
              <w:pStyle w:val="Western"/>
              <w:spacing w:before="0" w:after="0"/>
              <w:rPr/>
            </w:pPr>
            <w:r>
              <w:rPr/>
              <w:t>ТБП80. Принять СА</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20">
              <w:r>
                <w:rPr>
                  <w:rStyle w:val="Hyperlink"/>
                </w:rPr>
                <w:t>ТБП80. Принять СА</w:t>
              </w:r>
            </w:hyperlink>
            <w:r>
              <w:rPr/>
              <w:t xml:space="preserve"> </w:t>
              <w:br/>
              <w:t>Судья формирует и подписывает определение об отказе в возобновлении производства по делу ввиду решения о том, что обстоятельства для приостановления не были устранены в срок.</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74</w:t>
            </w:r>
          </w:p>
        </w:tc>
        <w:tc>
          <w:tcPr>
            <w:tcW w:w="1635" w:type="dxa"/>
            <w:tcBorders>
              <w:left w:val="single" w:sz="4" w:space="0" w:color="000000"/>
              <w:bottom w:val="single" w:sz="4" w:space="0" w:color="000000"/>
              <w:right w:val="single" w:sz="4" w:space="0" w:color="000000"/>
            </w:tcBorders>
          </w:tcPr>
          <w:p>
            <w:pPr>
              <w:pStyle w:val="Western"/>
              <w:spacing w:before="0" w:after="0"/>
              <w:rPr/>
            </w:pPr>
            <w:r>
              <w:rPr/>
              <w:t>Канцелярия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Направить документ</w:t>
            </w:r>
          </w:p>
        </w:tc>
        <w:tc>
          <w:tcPr>
            <w:tcW w:w="2133" w:type="dxa"/>
            <w:tcBorders>
              <w:left w:val="single" w:sz="4" w:space="0" w:color="000000"/>
              <w:bottom w:val="single" w:sz="4" w:space="0" w:color="000000"/>
              <w:right w:val="single" w:sz="4" w:space="0" w:color="000000"/>
            </w:tcBorders>
          </w:tcPr>
          <w:p>
            <w:pPr>
              <w:pStyle w:val="Western"/>
              <w:spacing w:before="0" w:after="0"/>
              <w:rPr/>
            </w:pPr>
            <w:r>
              <w:rPr/>
              <w:t xml:space="preserve">Вызов </w:t>
            </w:r>
            <w:hyperlink r:id="rId21">
              <w:r>
                <w:rPr>
                  <w:rStyle w:val="Hyperlink"/>
                </w:rPr>
                <w:t>ТБП46. Направить документ</w:t>
              </w:r>
            </w:hyperlink>
            <w:r>
              <w:rPr/>
              <w:t xml:space="preserve"> </w:t>
              <w:br/>
              <w:t>Определение об отказе в возобновлении производства по делу направляется канцелярией ЛУВД на ознакомление.</w:t>
            </w:r>
          </w:p>
        </w:tc>
      </w:tr>
      <w:tr>
        <w:trPr/>
        <w:tc>
          <w:tcPr>
            <w:tcW w:w="834" w:type="dxa"/>
            <w:tcBorders>
              <w:left w:val="single" w:sz="4" w:space="0" w:color="000000"/>
              <w:bottom w:val="single" w:sz="4" w:space="0" w:color="000000"/>
              <w:right w:val="single" w:sz="4" w:space="0" w:color="000000"/>
            </w:tcBorders>
          </w:tcPr>
          <w:p>
            <w:pPr>
              <w:pStyle w:val="Western"/>
              <w:spacing w:before="0" w:after="0"/>
              <w:rPr/>
            </w:pPr>
            <w:r>
              <w:rPr/>
              <w:t>75</w:t>
            </w:r>
          </w:p>
        </w:tc>
        <w:tc>
          <w:tcPr>
            <w:tcW w:w="1635" w:type="dxa"/>
            <w:tcBorders>
              <w:left w:val="single" w:sz="4" w:space="0" w:color="000000"/>
              <w:bottom w:val="single" w:sz="4" w:space="0" w:color="000000"/>
              <w:right w:val="single" w:sz="4" w:space="0" w:color="000000"/>
            </w:tcBorders>
          </w:tcPr>
          <w:p>
            <w:pPr>
              <w:pStyle w:val="Western"/>
              <w:spacing w:before="0" w:after="0"/>
              <w:rPr/>
            </w:pPr>
            <w:r>
              <w:rPr/>
              <w:t>Канцелярия</w:t>
            </w:r>
          </w:p>
        </w:tc>
        <w:tc>
          <w:tcPr>
            <w:tcW w:w="1326" w:type="dxa"/>
            <w:tcBorders>
              <w:left w:val="single" w:sz="4" w:space="0" w:color="000000"/>
              <w:bottom w:val="single" w:sz="4" w:space="0" w:color="000000"/>
              <w:right w:val="single" w:sz="4" w:space="0" w:color="000000"/>
            </w:tcBorders>
          </w:tcPr>
          <w:p>
            <w:pPr>
              <w:pStyle w:val="Western"/>
              <w:spacing w:before="0" w:after="0"/>
              <w:rPr/>
            </w:pPr>
            <w:r>
              <w:rPr/>
              <w:t>-</w:t>
            </w:r>
          </w:p>
        </w:tc>
        <w:tc>
          <w:tcPr>
            <w:tcW w:w="1631" w:type="dxa"/>
            <w:tcBorders>
              <w:left w:val="single" w:sz="4" w:space="0" w:color="000000"/>
              <w:bottom w:val="single" w:sz="4" w:space="0" w:color="000000"/>
              <w:right w:val="single" w:sz="4" w:space="0" w:color="000000"/>
            </w:tcBorders>
          </w:tcPr>
          <w:p>
            <w:pPr>
              <w:pStyle w:val="Western"/>
              <w:spacing w:before="0" w:after="0"/>
              <w:rPr/>
            </w:pPr>
            <w:r>
              <w:rPr/>
              <w:t>-</w:t>
            </w:r>
          </w:p>
        </w:tc>
        <w:tc>
          <w:tcPr>
            <w:tcW w:w="1790" w:type="dxa"/>
            <w:tcBorders>
              <w:left w:val="single" w:sz="4" w:space="0" w:color="000000"/>
              <w:bottom w:val="single" w:sz="4" w:space="0" w:color="000000"/>
              <w:right w:val="single" w:sz="4" w:space="0" w:color="000000"/>
            </w:tcBorders>
          </w:tcPr>
          <w:p>
            <w:pPr>
              <w:pStyle w:val="Western"/>
              <w:spacing w:before="0" w:after="0"/>
              <w:rPr/>
            </w:pPr>
            <w:r>
              <w:rPr/>
              <w:t>Завершающее событие</w:t>
            </w:r>
          </w:p>
        </w:tc>
        <w:tc>
          <w:tcPr>
            <w:tcW w:w="2133" w:type="dxa"/>
            <w:tcBorders>
              <w:left w:val="single" w:sz="4" w:space="0" w:color="000000"/>
              <w:bottom w:val="single" w:sz="4" w:space="0" w:color="000000"/>
              <w:right w:val="single" w:sz="4" w:space="0" w:color="000000"/>
            </w:tcBorders>
          </w:tcPr>
          <w:p>
            <w:pPr>
              <w:pStyle w:val="Western"/>
              <w:spacing w:before="0" w:after="0"/>
              <w:rPr/>
            </w:pPr>
            <w:r>
              <w:rPr/>
              <w:t>Завершение процесса. В удовлетворении ходатайства о возобновлении производству по делу отказано.</w:t>
            </w:r>
          </w:p>
        </w:tc>
      </w:tr>
    </w:tbl>
    <w:p>
      <w:pPr>
        <w:pStyle w:val="NormalWeb"/>
        <w:spacing w:before="49" w:after="49"/>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Aptos Display">
    <w:charset w:val="cc"/>
    <w:family w:val="roman"/>
    <w:pitch w:val="variable"/>
  </w:font>
  <w:font w:name="Aptos">
    <w:charset w:val="cc"/>
    <w:family w:val="roman"/>
    <w:pitch w:val="variable"/>
  </w:font>
  <w:font w:name="Liberation Mono">
    <w:altName w:val="Courier New"/>
    <w:charset w:val="cc"/>
    <w:family w:val="roman"/>
    <w:pitch w:val="variable"/>
  </w:font>
  <w:font w:name="Liberation Sans">
    <w:altName w:val="Arial"/>
    <w:charset w:val="cc"/>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 w:cs="Times New Roman" w:eastAsiaTheme="minorEastAsia"/>
      <w:color w:val="auto"/>
      <w:kern w:val="0"/>
      <w:sz w:val="24"/>
      <w:szCs w:val="24"/>
      <w:lang w:val="ru-RU" w:eastAsia="ru-RU" w:bidi="ar-SA"/>
    </w:rPr>
  </w:style>
  <w:style w:type="paragraph" w:styleId="Heading1">
    <w:name w:val="Heading 1"/>
    <w:basedOn w:val="Normal"/>
    <w:link w:val="1"/>
    <w:uiPriority w:val="9"/>
    <w:qFormat/>
    <w:pPr>
      <w:spacing w:beforeAutospacing="1" w:afterAutospacing="1"/>
      <w:outlineLvl w:val="0"/>
    </w:pPr>
    <w:rPr>
      <w:b/>
      <w:bCs/>
      <w:kern w:val="2"/>
      <w:sz w:val="48"/>
      <w:szCs w:val="48"/>
    </w:rPr>
  </w:style>
  <w:style w:type="paragraph" w:styleId="Heading2">
    <w:name w:val="Heading 2"/>
    <w:basedOn w:val="Normal"/>
    <w:link w:val="2"/>
    <w:uiPriority w:val="9"/>
    <w:qFormat/>
    <w:pPr>
      <w:spacing w:beforeAutospacing="1" w:afterAutospacing="1"/>
      <w:outlineLvl w:val="1"/>
    </w:pPr>
    <w:rPr>
      <w:b/>
      <w:bCs/>
      <w:sz w:val="36"/>
      <w:szCs w:val="36"/>
    </w:rPr>
  </w:style>
  <w:style w:type="paragraph" w:styleId="Heading3">
    <w:name w:val="Heading 3"/>
    <w:basedOn w:val="Normal"/>
    <w:link w:val="3"/>
    <w:uiPriority w:val="9"/>
    <w:qFormat/>
    <w:pPr>
      <w:spacing w:beforeAutospacing="1" w:afterAutospacing="1"/>
      <w:outlineLvl w:val="2"/>
    </w:pPr>
    <w:rPr>
      <w:b/>
      <w:bCs/>
      <w:sz w:val="27"/>
      <w:szCs w:val="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2" w:customStyle="1">
    <w:name w:val="Заголовок 2 Знак"/>
    <w:basedOn w:val="DefaultParagraphFont"/>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Strong">
    <w:name w:val="Strong"/>
    <w:basedOn w:val="DefaultParagraphFont"/>
    <w:uiPriority w:val="22"/>
    <w:qFormat/>
    <w:rPr>
      <w:b/>
      <w:bCs/>
    </w:rPr>
  </w:style>
  <w:style w:type="character" w:styleId="3" w:customStyle="1">
    <w:name w:val="Заголовок 3 Знак"/>
    <w:basedOn w:val="DefaultParagraphFont"/>
    <w:uiPriority w:val="9"/>
    <w:semiHidden/>
    <w:qFormat/>
    <w:rPr>
      <w:rFonts w:ascii="Aptos" w:hAnsi="Aptos" w:eastAsia="" w:cs="" w:asciiTheme="minorHAnsi" w:cstheme="majorBidi" w:eastAsiaTheme="majorEastAsia" w:hAnsiTheme="minorHAnsi"/>
      <w:color w:themeColor="accent1" w:themeShade="bf" w:val="0F4761"/>
      <w:sz w:val="28"/>
      <w:szCs w:val="28"/>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sid w:val="005d67e4"/>
    <w:rPr>
      <w:color w:themeColor="hyperlink" w:val="467886"/>
      <w:u w:val="single"/>
    </w:rPr>
  </w:style>
  <w:style w:type="character" w:styleId="UnresolvedMention">
    <w:name w:val="Unresolved Mention"/>
    <w:basedOn w:val="DefaultParagraphFont"/>
    <w:uiPriority w:val="99"/>
    <w:semiHidden/>
    <w:unhideWhenUsed/>
    <w:qFormat/>
    <w:rsid w:val="005d67e4"/>
    <w:rPr>
      <w:color w:val="605E5C"/>
      <w:shd w:fill="E1DFDD" w:val="clear"/>
    </w:rPr>
  </w:style>
  <w:style w:type="character" w:styleId="FollowedHyperlink">
    <w:name w:val="FollowedHyperlink"/>
    <w:rPr>
      <w:color w:val="800000"/>
      <w:u w:val="single"/>
    </w:rPr>
  </w:style>
  <w:style w:type="character" w:styleId="Style11">
    <w:name w:val="Исходный текст"/>
    <w:qFormat/>
    <w:rPr>
      <w:rFonts w:ascii="Liberation Mono" w:hAnsi="Liberation Mono" w:eastAsia="NSimSun" w:cs="Liberation Mono"/>
    </w:rPr>
  </w:style>
  <w:style w:type="paragraph" w:styleId="Style12">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Указатель"/>
    <w:basedOn w:val="Normal"/>
    <w:qFormat/>
    <w:pPr>
      <w:suppressLineNumbers/>
    </w:pPr>
    <w:rPr>
      <w:rFonts w:cs="Arial"/>
    </w:rPr>
  </w:style>
  <w:style w:type="paragraph" w:styleId="Msonormal" w:customStyle="1">
    <w:name w:val="msonormal"/>
    <w:basedOn w:val="Normal"/>
    <w:qFormat/>
    <w:pPr>
      <w:spacing w:beforeAutospacing="1" w:afterAutospacing="1"/>
    </w:pPr>
    <w:rPr/>
  </w:style>
  <w:style w:type="paragraph" w:styleId="NormalWeb">
    <w:name w:val="Normal (Web)"/>
    <w:basedOn w:val="Normal"/>
    <w:uiPriority w:val="99"/>
    <w:semiHidden/>
    <w:unhideWhenUsed/>
    <w:qFormat/>
    <w:pPr>
      <w:spacing w:beforeAutospacing="1" w:afterAutospacing="1"/>
    </w:pPr>
    <w:rPr/>
  </w:style>
  <w:style w:type="paragraph" w:styleId="Auto-cursor-target" w:customStyle="1">
    <w:name w:val="auto-cursor-target"/>
    <w:basedOn w:val="Normal"/>
    <w:qFormat/>
    <w:pPr>
      <w:spacing w:beforeAutospacing="1" w:afterAutospacing="1"/>
    </w:pPr>
    <w:rPr/>
  </w:style>
  <w:style w:type="paragraph" w:styleId="Enh-settings" w:customStyle="1">
    <w:name w:val="enh-settings"/>
    <w:basedOn w:val="Normal"/>
    <w:qFormat/>
    <w:pPr>
      <w:spacing w:beforeAutospacing="1" w:afterAutospacing="1"/>
    </w:pPr>
    <w:rPr/>
  </w:style>
  <w:style w:type="paragraph" w:styleId="Style14">
    <w:name w:val="Содержимое таблицы"/>
    <w:basedOn w:val="Normal"/>
    <w:qFormat/>
    <w:pPr>
      <w:widowControl w:val="false"/>
      <w:suppressLineNumbers/>
    </w:pPr>
    <w:rPr/>
  </w:style>
  <w:style w:type="paragraph" w:styleId="Style15">
    <w:name w:val="Заголовок таблицы"/>
    <w:basedOn w:val="Style14"/>
    <w:qFormat/>
    <w:pPr>
      <w:suppressLineNumbers/>
      <w:jc w:val="center"/>
    </w:pPr>
    <w:rPr>
      <w:b/>
      <w:bCs/>
    </w:rPr>
  </w:style>
  <w:style w:type="paragraph" w:styleId="Western">
    <w:name w:val="western"/>
    <w:basedOn w:val="Normal"/>
    <w:qFormat/>
    <w:pPr>
      <w:spacing w:beforeAutospacing="1" w:afterAutospacing="1"/>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tpm-wiki.mos.ru/pages/viewpage.action?pageId=448862007" TargetMode="External"/><Relationship Id="rId3" Type="http://schemas.openxmlformats.org/officeDocument/2006/relationships/hyperlink" Target="https://cloud.dit.mos.ru/apps/ditdocuments/s/wYj6atoLqNyErfJ?fileId=289258645" TargetMode="External"/><Relationship Id="rId4" Type="http://schemas.openxmlformats.org/officeDocument/2006/relationships/hyperlink" Target="https://cloud.dit.mos.ru/apps/ditdocuments/s/wYj6atoLqNyErfJ?fileId=289256339" TargetMode="External"/><Relationship Id="rId5" Type="http://schemas.openxmlformats.org/officeDocument/2006/relationships/hyperlink" Target="https://cloud.dit.mos.ru/apps/ditdocuments/s/wYj6atoLqNyErfJ?fileId=289256339" TargetMode="External"/><Relationship Id="rId6" Type="http://schemas.openxmlformats.org/officeDocument/2006/relationships/hyperlink" Target="https://itpm-wiki.mos.ru/pages/viewpage.action?pageId=533161398" TargetMode="External"/><Relationship Id="rId7" Type="http://schemas.openxmlformats.org/officeDocument/2006/relationships/hyperlink" Target="https://itpm-wiki.mos.ru/pages/viewpage.action?pageId=487496815" TargetMode="External"/><Relationship Id="rId8" Type="http://schemas.openxmlformats.org/officeDocument/2006/relationships/hyperlink" Target="https://itpm-wiki.mos.ru/pages/viewpage.action?pageId=487497481" TargetMode="External"/><Relationship Id="rId9" Type="http://schemas.openxmlformats.org/officeDocument/2006/relationships/hyperlink" Target="https://itpm-wiki.mos.ru/pages/viewpage.action?pageId=487496896" TargetMode="External"/><Relationship Id="rId10" Type="http://schemas.openxmlformats.org/officeDocument/2006/relationships/hyperlink" Target="https://itpm-wiki.mos.ru/pages/viewpage.action?pageId=487497481" TargetMode="External"/><Relationship Id="rId11" Type="http://schemas.openxmlformats.org/officeDocument/2006/relationships/hyperlink" Target="https://itpm-wiki.mos.ru/pages/viewpage.action?pageId=487496896" TargetMode="External"/><Relationship Id="rId12" Type="http://schemas.openxmlformats.org/officeDocument/2006/relationships/hyperlink" Target="https://itpm-wiki.mos.ru/pages/viewpage.action?pageId=487496908" TargetMode="External"/><Relationship Id="rId13" Type="http://schemas.openxmlformats.org/officeDocument/2006/relationships/hyperlink" Target="https://itpm-wiki.mos.ru/pages/viewpage.action?pageId=487496846" TargetMode="External"/><Relationship Id="rId14" Type="http://schemas.openxmlformats.org/officeDocument/2006/relationships/hyperlink" Target="https://itpm-wiki.mos.ru/pages/viewpage.action?pageId=487496894" TargetMode="External"/><Relationship Id="rId15" Type="http://schemas.openxmlformats.org/officeDocument/2006/relationships/hyperlink" Target="https://itpm-wiki.mos.ru/pages/viewpage.action?pageId=487496822" TargetMode="External"/><Relationship Id="rId16" Type="http://schemas.openxmlformats.org/officeDocument/2006/relationships/hyperlink" Target="https://itpm-wiki.mos.ru/pages/viewpage.action?pageId=487497467" TargetMode="External"/><Relationship Id="rId17" Type="http://schemas.openxmlformats.org/officeDocument/2006/relationships/hyperlink" Target="https://itpm-wiki.mos.ru/pages/viewpage.action?pageId=487497798" TargetMode="External"/><Relationship Id="rId18" Type="http://schemas.openxmlformats.org/officeDocument/2006/relationships/hyperlink" Target="https://itpm-wiki.mos.ru/pages/viewpage.action?pageId=487497481" TargetMode="External"/><Relationship Id="rId19" Type="http://schemas.openxmlformats.org/officeDocument/2006/relationships/hyperlink" Target="https://itpm-wiki.mos.ru/pages/viewpage.action?pageId=487496896" TargetMode="External"/><Relationship Id="rId20" Type="http://schemas.openxmlformats.org/officeDocument/2006/relationships/hyperlink" Target="https://itpm-wiki.mos.ru/pages/viewpage.action?pageId=487497481" TargetMode="External"/><Relationship Id="rId21" Type="http://schemas.openxmlformats.org/officeDocument/2006/relationships/hyperlink" Target="https://itpm-wiki.mos.ru/pages/viewpage.action?pageId=487496896" TargetMode="Externa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1713</TotalTime>
  <Application>LibreOffice/7.6.4.1$Windows_X86_64 LibreOffice_project/e19e193f88cd6c0525a17fb7a176ed8e6a3e2aa1</Application>
  <AppVersion>15.0000</AppVersion>
  <Pages>25</Pages>
  <Words>2865</Words>
  <Characters>17862</Characters>
  <CharactersWithSpaces>20146</CharactersWithSpaces>
  <Paragraphs>602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2025-12-29T05:48:00Z</dcterms:created>
  <dc:creator>Гончар Ксения Викторовна</dc:creator>
  <dc:description/>
  <dc:language>ru-RU</dc:language>
  <cp:lastModifiedBy/>
  <dcterms:modified xsi:type="dcterms:W3CDTF">2026-01-21T16:53:56Z</dcterms:modified>
  <cp:revision>24</cp:revision>
  <dc:subject/>
  <dc:title>Шаблон страницы судебного процесса As Is</dc:title>
</cp:coreProperties>
</file>

<file path=docProps/custom.xml><?xml version="1.0" encoding="utf-8"?>
<Properties xmlns="http://schemas.openxmlformats.org/officeDocument/2006/custom-properties" xmlns:vt="http://schemas.openxmlformats.org/officeDocument/2006/docPropsVTypes"/>
</file>