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ТБП7-Подать документы в суд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1. Интервью </w:t>
      </w:r>
    </w:p>
    <w:p>
      <w:pPr>
        <w:pStyle w:val="NormalWeb"/>
        <w:spacing w:before="49" w:after="49"/>
        <w:rPr/>
      </w:pPr>
      <w:r>
        <w:rPr/>
        <w:t>Информация содержится в интервью:</w:t>
      </w:r>
      <w:r>
        <w:rPr>
          <w:color w:val="0066FF"/>
        </w:rPr>
        <w:t xml:space="preserve"> </w:t>
      </w:r>
      <w:hyperlink r:id="rId2">
        <w:r>
          <w:rPr>
            <w:rStyle w:val="Hyperlink"/>
            <w:color w:val="0066FF"/>
          </w:rPr>
          <w:t>https://itpm-wiki.mos.ru/pages/viewpage.action?pageId=448862007</w:t>
        </w:r>
      </w:hyperlink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tblHeader w:val="true"/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"Арбитражный процессуальный кодекс Российской Федерации" от 24.07.2002 N 95-ФЗ (ред. от 01.04.2025)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Приказ Судебного департамента при Верховном Суде РФ от 28.12.2016 N 252 (ред. от 20.02.2018) "Об утверждении Порядка подачи в арбитражные суды Российской Федерации документов в электронном виде, в том числе в форме электронного документа" (вместе с "Порядком подачи в арбитражные суды Российской Федерации документов в электронном виде, в том числе в форме электронного документа")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Федеральный закон от 06.04.2011 N 63-ФЗ (ред. от 21.04.2025) "Об электронной подписи"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399"/>
        <w:gridCol w:w="11060"/>
      </w:tblGrid>
      <w:tr>
        <w:trPr/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Заявитель (ЛУВД, иные участники, которым необходимо подать документы)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Подготовка документов для подачи в суд, приложение ходатайств о восстановлении и продлении сроков, приложение необходимых документов, оплата государственной пошлины, направление копий второй стороне, выбор способа подачи документов, подписание документов, направление документов в суд, подача ходатайств об ознакомлении с материалами дела</w:t>
            </w:r>
          </w:p>
        </w:tc>
      </w:tr>
      <w:tr>
        <w:trPr>
          <w:trHeight w:val="20" w:hRule="atLeast"/>
          <w:cantSplit w:val="true"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Вторая сторона по делу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Получение копий документов от заявителя, расписка в получении документов, возврат расписки о получении, отправка уведомления о получении документов</w:t>
            </w:r>
          </w:p>
        </w:tc>
      </w:tr>
    </w:tbl>
    <w:p>
      <w:pPr>
        <w:pStyle w:val="NormalWeb"/>
        <w:spacing w:before="49" w:after="49"/>
        <w:rPr/>
      </w:pPr>
      <w:r>
        <w:rPr/>
        <w:t>* С указанием суда/инстанции/иного административного органа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872"/>
        <w:gridCol w:w="3737"/>
        <w:gridCol w:w="4405"/>
        <w:gridCol w:w="3310"/>
        <w:gridCol w:w="4843"/>
      </w:tblGrid>
      <w:tr>
        <w:trPr>
          <w:tblHeader w:val="true"/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Форма документа*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Образец**</w:t>
            </w:r>
          </w:p>
        </w:tc>
      </w:tr>
      <w:tr>
        <w:trPr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ПД/вторичный документ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 для подачи в суд. Будет отличаться в зависимости от вида правоотношения или категории спора, в рамках которого документ подается в суд.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hyperlink r:id="rId3">
              <w:r>
                <w:rPr>
                  <w:rStyle w:val="Hyperlink"/>
                  <w:color w:val="0066FF"/>
                </w:rPr>
                <w:t>Образец искового заявления</w:t>
              </w:r>
            </w:hyperlink>
          </w:p>
        </w:tc>
      </w:tr>
      <w:tr>
        <w:trPr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 о восстановлении пропущенного срока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  <w:tr>
        <w:trPr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3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 о продлении срока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  <w:tr>
        <w:trPr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4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 на получение льготы по госпошлине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  <w:tr>
        <w:trPr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5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Платежный документ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Квитанция об уплате госпошлины или платежное поручение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hyperlink r:id="rId4">
              <w:r>
                <w:rPr>
                  <w:rStyle w:val="Hyperlink"/>
                  <w:color w:val="0066FF"/>
                </w:rPr>
                <w:t>образец</w:t>
              </w:r>
            </w:hyperlink>
          </w:p>
        </w:tc>
      </w:tr>
      <w:tr>
        <w:trPr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6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Документ, подтверждающий освобождение от уплаты госпошлины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  <w:tr>
        <w:trPr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7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Выписка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Выписка из ЕГРЮЛ/ЕГРИП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color w:val="0066FF"/>
              </w:rPr>
            </w:pPr>
            <w:hyperlink r:id="rId5">
              <w:r>
                <w:rPr>
                  <w:rStyle w:val="Hyperlink"/>
                  <w:color w:val="0066FF"/>
                </w:rPr>
                <w:t>образец</w:t>
              </w:r>
            </w:hyperlink>
          </w:p>
        </w:tc>
      </w:tr>
      <w:tr>
        <w:trPr>
          <w:cantSplit w:val="true"/>
        </w:trPr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>
                <w:color w:val="172B4D"/>
              </w:rPr>
              <w:t>Документ</w:t>
            </w:r>
          </w:p>
        </w:tc>
        <w:tc>
          <w:tcPr>
            <w:tcW w:w="4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>
                <w:color w:val="000000"/>
              </w:rPr>
              <w:t>Документы, удостоверяющие полномочия представителя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>
                <w:color w:val="172B4D"/>
              </w:rPr>
              <w:t>Бумажный документ / электронный документ / электронный документ с ЭЦП /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>
                <w:color w:val="172B4D"/>
              </w:rPr>
              <w:t>Образцы в </w:t>
            </w:r>
            <w:hyperlink r:id="rId6">
              <w:r>
                <w:rPr>
                  <w:rStyle w:val="Hyperlink"/>
                  <w:color w:val="0066FF"/>
                </w:rPr>
                <w:t>ТБП58.Проверить полномочия ЛУВД</w:t>
              </w:r>
            </w:hyperlink>
          </w:p>
        </w:tc>
      </w:tr>
    </w:tbl>
    <w:p>
      <w:pPr>
        <w:pStyle w:val="NormalWeb"/>
        <w:spacing w:before="49" w:after="49"/>
        <w:rPr/>
      </w:pPr>
      <w:r>
        <w:rPr/>
        <w:t>*</w:t>
      </w:r>
      <w:r>
        <w:rPr>
          <w:rStyle w:val="Strong"/>
        </w:rPr>
        <w:t xml:space="preserve"> </w:t>
      </w:r>
      <w:r>
        <w:rPr/>
        <w:t>Бумажный документ / электронный документ / электронный документ с ЭЦП / печатная форма (из ИС).</w:t>
      </w:r>
    </w:p>
    <w:p>
      <w:pPr>
        <w:pStyle w:val="NormalWeb"/>
        <w:spacing w:before="49" w:after="49"/>
        <w:rPr/>
      </w:pPr>
      <w:r>
        <w:rPr/>
        <w:t>** Файл или ссылка на облако ДИТ. </w:t>
      </w:r>
    </w:p>
    <w:p>
      <w:pPr>
        <w:pStyle w:val="Heading3"/>
        <w:spacing w:before="49" w:after="49"/>
        <w:rPr/>
      </w:pPr>
      <w:r>
        <w:rPr>
          <w:rFonts w:eastAsia="Times New Roman"/>
        </w:rPr>
        <w:t>4.2 Судебные акты</w:t>
      </w:r>
      <w:r>
        <w:rPr/>
        <w:t xml:space="preserve"> </w:t>
      </w:r>
    </w:p>
    <w:p>
      <w:pPr>
        <w:pStyle w:val="Normal"/>
        <w:rPr>
          <w:rFonts w:eastAsia="Times New Roman"/>
        </w:rPr>
      </w:pPr>
      <w:r>
        <w:rPr/>
        <w:t>В данном процессе не происходит формирования СА, так как происходит процесс подачи документов в суд со стороны заявителя, а не действия со стороны суда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92"/>
        <w:gridCol w:w="1331"/>
        <w:gridCol w:w="1842"/>
        <w:gridCol w:w="3196"/>
        <w:gridCol w:w="1530"/>
        <w:gridCol w:w="1052"/>
      </w:tblGrid>
      <w:tr>
        <w:trPr>
          <w:cantSplit w:val="true"/>
        </w:trPr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Форма (протокольный/отдельный СА)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Обжалуется (да/нет)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Образец</w:t>
            </w:r>
          </w:p>
        </w:tc>
      </w:tr>
      <w:tr>
        <w:trPr>
          <w:cantSplit w:val="true"/>
        </w:trPr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uto-cursor-target"/>
              <w:spacing w:before="0" w:after="0"/>
              <w:rPr/>
            </w:pPr>
            <w:r>
              <w:rPr/>
              <w:t>-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>
      <w:pPr>
        <w:pStyle w:val="NormalWeb"/>
        <w:spacing w:before="49" w:after="49"/>
        <w:jc w:val="both"/>
        <w:rPr/>
      </w:pPr>
      <w:r>
        <w:rPr/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295"/>
        <w:gridCol w:w="3756"/>
        <w:gridCol w:w="1774"/>
        <w:gridCol w:w="2518"/>
      </w:tblGrid>
      <w:tr>
        <w:trPr/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>
        <w:trPr>
          <w:cantSplit w:val="true"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44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Срок действия выписки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30 дней до дня обращения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АПК РФ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Справочники отсутствуют, так как личный кабинет пользователя не являлся предметом настоящего обследования.</w:t>
      </w:r>
    </w:p>
    <w:tbl>
      <w:tblPr>
        <w:tblW w:w="9436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90"/>
        <w:gridCol w:w="2499"/>
        <w:gridCol w:w="2243"/>
        <w:gridCol w:w="2185"/>
        <w:gridCol w:w="2119"/>
      </w:tblGrid>
      <w:tr>
        <w:trPr>
          <w:cantSplit w:val="true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№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Наименование справочника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Назначение справочника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Структура справочника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>
          <w:trHeight w:val="20" w:hRule="atLeast"/>
          <w:cantSplit w:val="true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>
      <w:pPr>
        <w:pStyle w:val="NormalWeb"/>
        <w:spacing w:before="49" w:after="49"/>
        <w:rPr/>
      </w:pPr>
      <w:r>
        <w:rPr/>
        <w:t>В описываемом процессе отсутствует межведомственное взаимодействие суда, так как процесс описывает действия на стороне ЛК ЛУВД</w:t>
      </w:r>
    </w:p>
    <w:tbl>
      <w:tblPr>
        <w:tblW w:w="165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521"/>
        <w:gridCol w:w="2238"/>
        <w:gridCol w:w="1264"/>
        <w:gridCol w:w="2238"/>
      </w:tblGrid>
      <w:tr>
        <w:trPr/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>
        <w:trPr>
          <w:cantSplit w:val="true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8. AS IS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8.1  Схема процесса </w:t>
      </w:r>
    </w:p>
    <w:p>
      <w:pPr>
        <w:pStyle w:val="NormalWeb"/>
        <w:spacing w:before="49" w:after="49"/>
        <w:rPr/>
      </w:pPr>
      <w:r>
        <w:rPr>
          <w:lang w:val="en-US"/>
        </w:rPr>
        <w:t>TBP</w:t>
      </w:r>
      <w:r>
        <w:rPr/>
        <w:t>7_</w:t>
      </w:r>
      <w:r>
        <w:rPr>
          <w:lang w:val="en-US"/>
        </w:rPr>
        <w:t>podat</w:t>
      </w:r>
      <w:r>
        <w:rPr/>
        <w:t>_</w:t>
      </w:r>
      <w:r>
        <w:rPr>
          <w:lang w:val="en-US"/>
        </w:rPr>
        <w:t>dokumenty</w:t>
      </w:r>
      <w:r>
        <w:rPr/>
        <w:t>_</w:t>
      </w:r>
      <w:r>
        <w:rPr>
          <w:lang w:val="en-US"/>
        </w:rPr>
        <w:t>sud</w:t>
      </w:r>
      <w:r>
        <w:rPr/>
        <w:t>_</w:t>
      </w:r>
      <w:r>
        <w:rPr>
          <w:lang w:val="en-US"/>
        </w:rPr>
        <w:t>bpmn</w:t>
      </w:r>
      <w:r>
        <w:rPr/>
        <w:t>_</w:t>
      </w:r>
      <w:r>
        <w:rPr>
          <w:lang w:val="en-US"/>
        </w:rPr>
        <w:t>asis</w:t>
      </w:r>
      <w:r>
        <w:rPr/>
        <w:t>.</w:t>
      </w:r>
      <w:r>
        <w:rPr>
          <w:lang w:val="en-US"/>
        </w:rPr>
        <w:t>bpmn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p>
      <w:pPr>
        <w:pStyle w:val="Heading2"/>
        <w:spacing w:before="49" w:after="49"/>
        <w:rPr>
          <w:b w:val="false"/>
          <w:bCs w:val="false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false"/>
          <w:bCs w:val="false"/>
          <w:sz w:val="24"/>
          <w:szCs w:val="24"/>
        </w:rPr>
        <w:t xml:space="preserve"> </w:t>
      </w:r>
      <w:hyperlink r:id="rId7">
        <w:r>
          <w:rPr>
            <w:rStyle w:val="Hyperlink"/>
            <w:rFonts w:eastAsia="Times New Roman"/>
            <w:b w:val="false"/>
            <w:bCs w:val="false"/>
            <w:sz w:val="24"/>
            <w:szCs w:val="24"/>
          </w:rPr>
          <w:t>https://itpm-wiki.mos.ru/pages/viewpage.action?pageId=533161398</w:t>
        </w:r>
      </w:hyperlink>
    </w:p>
    <w:tbl>
      <w:tblPr>
        <w:tblW w:w="9348" w:type="dxa"/>
        <w:jc w:val="left"/>
        <w:tblInd w:w="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5"/>
        <w:gridCol w:w="1634"/>
        <w:gridCol w:w="1326"/>
        <w:gridCol w:w="1631"/>
        <w:gridCol w:w="1790"/>
        <w:gridCol w:w="2132"/>
      </w:tblGrid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Роль</w:t>
              <w:br/>
            </w:r>
            <w:r>
              <w:rPr>
                <w:rStyle w:val="Emphasis"/>
                <w:b/>
                <w:bCs/>
              </w:rPr>
              <w:t>(актор на конкретном шаге, в т.ч. Система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Входящие материалы</w:t>
              <w:br/>
            </w:r>
            <w:r>
              <w:rPr>
                <w:rStyle w:val="Emphasis"/>
                <w:b/>
                <w:bCs/>
              </w:rPr>
              <w:t>(объект/данные, инициирующие шаг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Исходящие материалы</w:t>
              <w:br/>
            </w:r>
            <w:r>
              <w:rPr>
                <w:rStyle w:val="Emphasis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Описание шага процесса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Возникла необходимость подать документы в суд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Подача документов в арбитражный суд - это правовое действие, с помощью которого участник процесса реализует свои права и обязанности в судопроизводстве, а суд получает основание для дальнейших процессуальных решений. Заявитель принимает решение о необходимости подачи документов в суд</w:t>
            </w:r>
          </w:p>
        </w:tc>
      </w:tr>
      <w:tr>
        <w:trPr>
          <w:trHeight w:val="10712" w:hRule="atLeast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Документ для подачи в суд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Подготовить документ для подачи в суд.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в зависимости от вида правоотношения подготавливает основной документ, который необходимо направить в суд, оформляя его согласно требованиям процессуального законодательства: Исковое заявление (ст. 125 АПК РФ)/Заявление по делам особого производства/ Заявление по делам, возникающим из административных и иных публичных правоотношений/Заявление о признании должника банкротом/ Апелляционная жалоба/Кассационная жалоба/Заявление о пересмотре судебного акта по вновь открывшимся обстоятельствам/ Ходатайство/Заявление о принятии обеспечительных мер/Заявление об отказе от иска/признании иска/заключении мирового соглашения/Заявление об отводе судьи/ Заявление о выдаче исполнительного листа/Заявление о разъяснении судебного акта/Заявление о повороте исполнения судебного акта/ Отзыв на исковое заявление (обязанность ответчика  ст. 131 АПК РФ)/Возражения на жалобы и ходатайства/Дополнительные пояснения по делу/Заявление о вступлении в дело третьего лица (заявляющего или не заявляющего самостоятельные требования) и другие, предусмотренные законодательством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Решить вопрос о необходимости приложить иные документы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 выполняет задачу: 'Решить вопрос о необходимости приложить иные документы'.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Необходимо восстановить пропущенный срок на подачу документов?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Конкретный процессуальный срок на подачу конкретного процессуального документа в зависимости от вида правоотношения указан на схеме каркасных процессов.</w:t>
              <w:br/>
              <w:t>Если заявитель пропустил процессуальный срок, то он определяет, требуется ли ему восстановить этот срок.</w:t>
              <w:br/>
              <w:t>Если «Да», то переход к шагу 4 процесса.</w:t>
              <w:br/>
              <w:t>Если «Нет», то переход к шагу 5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Ходатайство о восстановлении пропущенного  срока, Ходатайство о продлении срока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Приложить ходатайство.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подготавливает и прикладывает ходатайство о восстановлении пропущенного срока согласно ст. 117 АПК РФ. Ходатайство должно включать:</w:t>
              <w:br/>
              <w:t>наименование суда; сведения о заявителе (ФИО/наименование, адрес, процессуальное положение в деле); указание, какой срок пропущен; описание причин пропуска со ссылкой на доказательства; просьбу о восстановлении срока и принятии документа к рассмотрению; перечень приложений; подпись и дату.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3-го, 4-го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 документу необходимы приложения?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определяет есть ли необходимость приложить дополнительные документы к основному документу в обоснование своих требований.</w:t>
              <w:br/>
              <w:t>Если «Да», то переход к шагу 7 процесса.</w:t>
              <w:br/>
              <w:t>Если «Нет», то переход к шагу 8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Комплект документов-приложений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Приложить документы, указанные в качестве приложений.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прикладывает все необходимые документы согласно требованиям к конкретному виду обращения.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6-го, 7-го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Документы подаются лично?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будет подавать документы лично?</w:t>
              <w:br/>
              <w:t> Если «Да», то переход к шагу 10 процесса.</w:t>
              <w:br/>
              <w:t>Если «Нет», то переход к шагу 11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Документы, удостоверяющие полномочия представителя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Приложить документы, удостоверяющие полномочия представителя.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Если представлять интересы будет представитель заявителя, то необходимо приложить доверенность, документ о высшем юридическом образовании/ документ удостоверяющий статус (адвоката, патентного поверенного, арбитражного управляющего, единоличного органа управления организации, прокурора).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9-го, 10-го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Требуется вручить копию второй стороне?. Эксклюзивный открывающий шлюз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Необходимо определить способ направления копии второй стороне. Заявитель решает, будет ли он передавать копии документов, направляемых в суд, второй стороне лично?</w:t>
              <w:br/>
              <w:t>Если «Да», то переход к шагу 13 процесса.</w:t>
              <w:br/>
              <w:t>Если «Нет», то переход к шагу 22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161616"/>
                <w:shd w:fill="FFFFFF" w:val="clear"/>
              </w:rPr>
              <w:t>Каким способом необходимо вручить копию?</w:t>
            </w:r>
            <w:r>
              <w:rPr/>
              <w:t xml:space="preserve">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Лично под расписку: переход к шагу 14; Направить по почте: переход к шагу 15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Передать копию документов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лично передает копии документов второй стороне.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Направить копию второй стороне.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направляет копию документов второй стороне по почте или иным способом. Направляется копия основного документа и копии приложений (если они есть).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Документы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15-го, 16-го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Проверить поступление подтверждения о получении копии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 выполняет задачу: 'Проверить поступление подтверждения о получении копии'.</w:t>
            </w:r>
          </w:p>
        </w:tc>
      </w:tr>
      <w:tr>
        <w:trPr>
          <w:trHeight w:val="-19198" w:hRule="atLeast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Получено уведомление о вручении второй стороне?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проверяет получено ли уведомление о вручении копий документов, которые необходимо подать в суд, второй стороне.</w:t>
              <w:br/>
              <w:t xml:space="preserve">Если «Да», то переход к шагу </w:t>
            </w:r>
            <w:r>
              <w:rPr>
                <w:lang w:val="en-US"/>
              </w:rPr>
              <w:t>19</w:t>
            </w:r>
            <w:r>
              <w:rPr/>
              <w:t>.</w:t>
              <w:br/>
              <w:t>Если «Нет», то переход к шагу 2</w:t>
            </w:r>
            <w:r>
              <w:rPr>
                <w:lang w:val="en-US"/>
              </w:rPr>
              <w:t>0</w:t>
            </w:r>
            <w:r>
              <w:rPr/>
              <w:t>.</w:t>
            </w:r>
          </w:p>
        </w:tc>
      </w:tr>
      <w:tr>
        <w:trPr/>
        <w:tc>
          <w:tcPr>
            <w:tcW w:w="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1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/>
            </w:pPr>
            <w:r>
              <w:rPr/>
              <w:t>Расписка о вручении.</w:t>
            </w:r>
          </w:p>
          <w:p>
            <w:pPr>
              <w:pStyle w:val="Normal"/>
              <w:ind w:hanging="0" w:left="0" w:right="0"/>
              <w:rPr/>
            </w:pPr>
            <w:r>
              <w:rPr/>
              <w:t>Уведомление о получении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/>
            </w:pPr>
            <w:r>
              <w:rPr/>
              <w:t>Приложить подтверждение получения или расписку о вручении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прикладывает к пакету документов подтверждение получения их второй стороной или расписку о вручении, подписанную второй стороной.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Приложить иные доказательства направления копии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прикладывает иные доказательства направления копии второй стороне (справка о направлении, иные документы).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12-го, 20-го, 21-го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Проверить, требуется ли уплата госпошлины при подаче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 выполняет задачу: 'Проверить, требуется ли уплата госпошлины при подаче'.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Требуется оплатить госпошлину?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Государственная пошлина в арбитражном суде  это установленный законом сбор, который уплачивают физические и юридические лица при обращении в арбитражный суд или совершении юридически значимых процессуальных действий, таких как подача искового заявления. Размер госпошлины определяется Налоговым кодексом РФ, а сами средства поступают в федеральный бюджет. </w:t>
              <w:br/>
              <w:t>Заявитель определяет необходимо ли ему оплатить государственную пошлину за обращение в суд.</w:t>
              <w:br/>
              <w:t>Если «Да», то переход к шагу 24 процесса,</w:t>
              <w:br/>
              <w:t>Если «Нет», то переход к шагу 30 процесса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Есть право на получение льготы, отсрочки/рассрочки уплаты госпошлины?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проверяет наличие права на льготы, или необходимость просить суд о рассрочке/отсрочке уплаты государственной пошлины.</w:t>
              <w:br/>
              <w:t>Если «Да», то переход к шагу 26 процесса,</w:t>
              <w:br/>
              <w:t>Если «Нет», то переход к шагу 27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Ходатайство на получение льготы, отсрочки/рассрочки уплаты госпошлины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Подготовить ходатайство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подготавливает ходатайство о предоставлении льготы, отсрочки или рассрочки уплаты государственной пошлины.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25-го, 26-го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 </w:t>
            </w:r>
            <w:r>
              <w:rPr/>
              <w:t>Есть основания для освобождения от уплаты госпошлины? 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проверяет есть ли основания для его освобождения от уплаты госпошлины в соответствии с положениями АПК РФ и НК РФ.</w:t>
              <w:br/>
              <w:t>Если «Да», то переход к шагу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29</w:t>
            </w:r>
            <w:r>
              <w:rPr>
                <w:lang w:val="en-US"/>
              </w:rPr>
              <w:t xml:space="preserve"> </w:t>
            </w:r>
            <w:r>
              <w:rPr/>
              <w:t>процесса.</w:t>
              <w:br/>
              <w:t>Если «Нет», то переход к шагу 2</w:t>
            </w:r>
            <w:r>
              <w:rPr>
                <w:lang w:val="en-US"/>
              </w:rPr>
              <w:t>8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28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Квитанция об уплате госпошлины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Оплатить госпошлину, приложить подтверждение об уплате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оплачивает государственную пошлину и прикладывает подтверждение об уплате (платежное поручение с отметкой банка).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29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Документ, подтверждающий освобождение от уплаты госпошлины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Приложить подтверждающий документ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прикладывает документ, подтверждающий освобождение от уплаты государственной пошлины.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2</w:t>
            </w:r>
            <w:r>
              <w:rPr>
                <w:lang w:val="en-US"/>
              </w:rPr>
              <w:t>3</w:t>
            </w:r>
            <w:r>
              <w:rPr/>
              <w:t>-го, 2</w:t>
            </w:r>
            <w:r>
              <w:rPr>
                <w:lang w:val="en-US"/>
              </w:rPr>
              <w:t>8</w:t>
            </w:r>
            <w:r>
              <w:rPr/>
              <w:t xml:space="preserve">-го, </w:t>
            </w:r>
            <w:r>
              <w:rPr>
                <w:lang w:val="en-US"/>
              </w:rPr>
              <w:t>29</w:t>
            </w:r>
            <w:r>
              <w:rPr/>
              <w:t>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Необходимо приложить выписку из ЕГРЮЛ/ЕГРИП?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решает, есть ли необходимость приложения выписки из ЕГРЮЛ/ЕГРИП.</w:t>
              <w:br/>
              <w:t>Если «Да», то переход к шагу 3</w:t>
            </w:r>
            <w:r>
              <w:rPr>
                <w:lang w:val="en-US"/>
              </w:rPr>
              <w:t>2</w:t>
            </w:r>
            <w:r>
              <w:rPr/>
              <w:t xml:space="preserve"> процесса.</w:t>
              <w:br/>
              <w:t>Если «Нет», то переход к шагу 3</w:t>
            </w:r>
            <w:r>
              <w:rPr>
                <w:lang w:val="en-US"/>
              </w:rPr>
              <w:t>3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Выписка из ЕГРЮЛ/ЕГРИП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Приложить выписку.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прикладывает выписку из ЕГРЮЛ/ЕГРИП, полученную не более чем за 30 дней до дня обращения (ст. 126 АПК РФ).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32-го, 33-го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Определить способ подачи документов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 выполняет задачу: 'Определить способ подачи документов'.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35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Каким способом подать документы?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выбирает способ подачи документов.</w:t>
              <w:br/>
              <w:t>Если необходимо подать документы по почте, то переход к шагу 3</w:t>
            </w:r>
            <w:r>
              <w:rPr>
                <w:lang w:val="en-US"/>
              </w:rPr>
              <w:t>6</w:t>
            </w:r>
            <w:r>
              <w:rPr/>
              <w:t xml:space="preserve"> процесса.</w:t>
              <w:br/>
              <w:t>Если необходимо подать документы лично через канцелярию суда, переход к шагу 3</w:t>
            </w:r>
            <w:r>
              <w:rPr>
                <w:lang w:val="en-US"/>
              </w:rPr>
              <w:t>6</w:t>
            </w:r>
            <w:r>
              <w:rPr/>
              <w:t xml:space="preserve"> процесса.</w:t>
              <w:br/>
              <w:t>Если документы будут подаваться электронно через Мой Арбитр, то переход к шагу 3</w:t>
            </w:r>
            <w:r>
              <w:rPr>
                <w:lang w:val="en-US"/>
              </w:rPr>
              <w:t>7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Комплект документов в бумажном формате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Подписать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Если документы подаются через канцелярию суда или направляются по почте, то необходимо такие документы подписать. Заявитель подписывает документы собственноручно.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Подается электронный образ документа? (Эксклюзивный шлюз)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может подать документы в электронном виде, а может направить электронный образ документов. На этом шаге Заявитель решает будет ли он подавать электронный образ документа.</w:t>
              <w:br/>
              <w:t xml:space="preserve">Если «Да», то переход к шагу </w:t>
            </w:r>
            <w:r>
              <w:rPr>
                <w:lang w:val="en-US"/>
              </w:rPr>
              <w:t>39</w:t>
            </w:r>
            <w:r>
              <w:rPr/>
              <w:t xml:space="preserve"> процесса.</w:t>
              <w:br/>
              <w:t>Если «Нет», то переход к шагу 3</w:t>
            </w:r>
            <w:r>
              <w:rPr>
                <w:lang w:val="en-US"/>
              </w:rPr>
              <w:t>8</w:t>
            </w:r>
            <w:r>
              <w:rPr/>
              <w:t xml:space="preserve"> процесса.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38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Электронный документ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Подписать УКЭП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подписывает электронный документ усиленной квалифицированной электронной подписью.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39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Подписать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подписывает бумажный документ для последующего сканирования.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40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Электронный образ документов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Отсканировать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сканирует подписанный документ для получения электронного образа.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3</w:t>
            </w:r>
            <w:r>
              <w:rPr>
                <w:lang w:val="en-US"/>
              </w:rPr>
              <w:t>8</w:t>
            </w:r>
            <w:r>
              <w:rPr/>
              <w:t>-го, 4</w:t>
            </w:r>
            <w:r>
              <w:rPr>
                <w:lang w:val="en-US"/>
              </w:rPr>
              <w:t>0</w:t>
            </w:r>
            <w:r>
              <w:rPr/>
              <w:t>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Закрывающий шлюз.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Эксклюзивный закрывающий шлюз, объединяющий потоки из 3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-го, 41-го шага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Заявитель (ЛУВД, иные участники, которым  необходимо подать документы)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Направить в суд. Завершающее событие-сообщение.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 w:right="0"/>
              <w:rPr/>
            </w:pPr>
            <w:r>
              <w:rPr/>
              <w:t xml:space="preserve">Документы поданы в арбитражный суд </w:t>
            </w:r>
          </w:p>
        </w:tc>
      </w:tr>
    </w:tbl>
    <w:p>
      <w:pPr>
        <w:pStyle w:val="NormalWeb"/>
        <w:spacing w:before="49" w:after="49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Aptos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sid w:val="005d67e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67e4"/>
    <w:rPr>
      <w:color w:val="605E5C"/>
      <w:shd w:fill="E1DFDD" w:val="clear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Auto-cursor-target" w:customStyle="1">
    <w:name w:val="auto-cursor-target"/>
    <w:basedOn w:val="Normal"/>
    <w:qFormat/>
    <w:pPr>
      <w:spacing w:beforeAutospacing="1" w:afterAutospacing="1"/>
    </w:pPr>
    <w:rPr/>
  </w:style>
  <w:style w:type="paragraph" w:styleId="Enh-settings" w:customStyle="1">
    <w:name w:val="enh-settings"/>
    <w:basedOn w:val="Normal"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tpm-wiki.mos.ru/pages/viewpage.action?pageId=448862007" TargetMode="External"/><Relationship Id="rId3" Type="http://schemas.openxmlformats.org/officeDocument/2006/relationships/hyperlink" Target="https://cloud.dit.mos.ru/s/wYj6atoLqNyErfJ?dir=undefined&amp;path=%2F&#1054;&#1073;&#1089;&#1083;&#1077;&#1076;&#1086;&#1074;&#1072;&#1085;&#1080;&#1077; &#1072;&#1088;&#1073;&#1080;&#1090;&#1088;&#1072;&#1078;&#1085;&#1099;&#1093; &#1089;&#1091;&#1076;&#1086;&#1074;%2F&#1054;&#1073;&#1088;&#1072;&#1079;&#1094;&#1099; &#1080;&#1083;&#1080; &#1096;&#1072;&#1073;&#1083;&#1086;&#1085;&#1099; &#1076;&#1086;&#1082;&#1091;&#1084;&#1077;&#1085;&#1090;&#1086;&#1074; &#1088;&#1072;&#1089;&#1089;&#1084;&#1086;&#1090;&#1088;&#1077;&#1085;&#1080;&#1103;&amp;openfile=311871542" TargetMode="External"/><Relationship Id="rId4" Type="http://schemas.openxmlformats.org/officeDocument/2006/relationships/hyperlink" Target="https://cloud.dit.mos.ru/s/wYj6atoLqNyErfJ?dir=undefined&amp;path=%2F&#1054;&#1073;&#1089;&#1083;&#1077;&#1076;&#1086;&#1074;&#1072;&#1085;&#1080;&#1077; &#1072;&#1088;&#1073;&#1080;&#1090;&#1088;&#1072;&#1078;&#1085;&#1099;&#1093; &#1089;&#1091;&#1076;&#1086;&#1074;%2F&#1054;&#1073;&#1088;&#1072;&#1079;&#1094;&#1099; &#1080;&#1083;&#1080; &#1096;&#1072;&#1073;&#1083;&#1086;&#1085;&#1099; &#1076;&#1086;&#1082;&#1091;&#1084;&#1077;&#1085;&#1090;&#1086;&#1074; &#1088;&#1072;&#1089;&#1089;&#1084;&#1086;&#1090;&#1088;&#1077;&#1085;&#1080;&#1103;&amp;openfile=311870859" TargetMode="External"/><Relationship Id="rId5" Type="http://schemas.openxmlformats.org/officeDocument/2006/relationships/hyperlink" Target="https://cloud.dit.mos.ru/s/wYj6atoLqNyErfJ?dir=undefined&amp;path=%2F&#1054;&#1073;&#1089;&#1083;&#1077;&#1076;&#1086;&#1074;&#1072;&#1085;&#1080;&#1077; &#1072;&#1088;&#1073;&#1080;&#1090;&#1088;&#1072;&#1078;&#1085;&#1099;&#1093; &#1089;&#1091;&#1076;&#1086;&#1074;%2F&#1054;&#1073;&#1088;&#1072;&#1079;&#1094;&#1099; &#1080;&#1083;&#1080; &#1096;&#1072;&#1073;&#1083;&#1086;&#1085;&#1099; &#1076;&#1086;&#1082;&#1091;&#1084;&#1077;&#1085;&#1090;&#1086;&#1074; &#1088;&#1072;&#1089;&#1089;&#1084;&#1086;&#1090;&#1088;&#1077;&#1085;&#1080;&#1103;&amp;openfile=311870677" TargetMode="External"/><Relationship Id="rId6" Type="http://schemas.openxmlformats.org/officeDocument/2006/relationships/hyperlink" Target="https://itpm-wiki.mos.ru/pages/viewpage.action?pageId=487496916" TargetMode="External"/><Relationship Id="rId7" Type="http://schemas.openxmlformats.org/officeDocument/2006/relationships/hyperlink" Target="https://itpm-wiki.mos.ru/pages/viewpage.action?pageId=533161398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Application>LibreOffice/7.6.4.1$Windows_X86_64 LibreOffice_project/e19e193f88cd6c0525a17fb7a176ed8e6a3e2aa1</Application>
  <AppVersion>15.0000</AppVersion>
  <Pages>1</Pages>
  <Words>2290</Words>
  <Characters>15561</Characters>
  <CharactersWithSpaces>17527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2025-12-29T05:48:00Z</dcterms:created>
  <dc:creator>Гончар Ксения Викторовна</dc:creator>
  <dc:description/>
  <dc:language>ru-RU</dc:language>
  <cp:lastModifiedBy/>
  <dcterms:modified xsi:type="dcterms:W3CDTF">2026-01-16T14:26:23Z</dcterms:modified>
  <cp:revision>14</cp:revision>
  <dc:subject/>
  <dc:title>Шаблон страницы судебного процесса As 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