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idi w:val="0"/>
        <w:spacing w:before="240" w:after="120"/>
        <w:ind w:hanging="0" w:left="0" w:right="0"/>
        <w:jc w:val="left"/>
        <w:rPr/>
      </w:pPr>
      <w:bookmarkStart w:id="0" w:name="title-text"/>
      <w:bookmarkEnd w:id="0"/>
      <w:r>
        <w:rPr/>
        <w:t>Описание ТБП91: "Обратить СА к исполнению" TO BE</w:t>
      </w:r>
    </w:p>
    <w:p>
      <w:pPr>
        <w:pStyle w:val="Heading2"/>
        <w:bidi w:val="0"/>
        <w:jc w:val="left"/>
        <w:rPr/>
      </w:pPr>
      <w:r>
        <w:rPr/>
        <w:t>1. Нормативно-правовые акты (НПА)</w:t>
      </w:r>
    </w:p>
    <w:p>
      <w:pPr>
        <w:pStyle w:val="BodyText"/>
        <w:numPr>
          <w:ilvl w:val="0"/>
          <w:numId w:val="1"/>
        </w:numPr>
        <w:tabs>
          <w:tab w:val="clear" w:pos="709"/>
          <w:tab w:val="left" w:pos="709" w:leader="none"/>
        </w:tabs>
        <w:bidi w:val="0"/>
        <w:spacing w:before="0" w:after="0"/>
        <w:ind w:hanging="283" w:left="709"/>
        <w:jc w:val="left"/>
        <w:rPr/>
      </w:pPr>
      <w:r>
        <w:rPr/>
        <w:t>Арбитражный процессуальный кодекс Российской Федерации от 24.07.2002 N 95-ФЗ (ред. от 01.04.2025)</w:t>
      </w:r>
    </w:p>
    <w:p>
      <w:pPr>
        <w:pStyle w:val="BodyText"/>
        <w:numPr>
          <w:ilvl w:val="0"/>
          <w:numId w:val="1"/>
        </w:numPr>
        <w:tabs>
          <w:tab w:val="clear" w:pos="709"/>
          <w:tab w:val="left" w:pos="709" w:leader="none"/>
        </w:tabs>
        <w:bidi w:val="0"/>
        <w:spacing w:before="0" w:after="0"/>
        <w:ind w:hanging="283" w:left="709"/>
        <w:jc w:val="left"/>
        <w:rPr/>
      </w:pPr>
      <w:r>
        <w:rPr/>
        <w:t>Постановление Пленума ВАС РФ от 25.12.2013 N 100 (ред. от 11.07.2014) "Об утверждении Инструкции по делопроизводству в арбитражных судах Российской Федерации (первой, апелляционной и кассационной инстанций)"</w:t>
      </w:r>
    </w:p>
    <w:p>
      <w:pPr>
        <w:pStyle w:val="BodyText"/>
        <w:numPr>
          <w:ilvl w:val="0"/>
          <w:numId w:val="1"/>
        </w:numPr>
        <w:tabs>
          <w:tab w:val="clear" w:pos="709"/>
          <w:tab w:val="left" w:pos="709" w:leader="none"/>
        </w:tabs>
        <w:bidi w:val="0"/>
        <w:spacing w:before="0" w:after="0"/>
        <w:ind w:hanging="283" w:left="709"/>
        <w:jc w:val="left"/>
        <w:rPr/>
      </w:pPr>
      <w:r>
        <w:rPr/>
        <w:t>Федеральный закон от 02.10.2007 N 229-ФЗ (ред. от 31.07.2025) "Об исполнительном производстве"</w:t>
      </w:r>
    </w:p>
    <w:p>
      <w:pPr>
        <w:pStyle w:val="BodyText"/>
        <w:numPr>
          <w:ilvl w:val="0"/>
          <w:numId w:val="1"/>
        </w:numPr>
        <w:tabs>
          <w:tab w:val="clear" w:pos="709"/>
          <w:tab w:val="left" w:pos="709" w:leader="none"/>
        </w:tabs>
        <w:bidi w:val="0"/>
        <w:spacing w:before="0" w:after="0"/>
        <w:ind w:hanging="283" w:left="709"/>
        <w:jc w:val="left"/>
        <w:rPr/>
      </w:pPr>
      <w:r>
        <w:rPr/>
        <w:t>"Кодекс Российской Федерации об административных правонарушениях" от 30.12.2001 N 195-ФЗ (ред. от 31.07.2025) (с изм. и доп., вступ. в силу с 06.09.2025) (Раздел 5 исполнения постановление по делам об административных правонарушениях)</w:t>
      </w:r>
    </w:p>
    <w:p>
      <w:pPr>
        <w:pStyle w:val="BodyText"/>
        <w:numPr>
          <w:ilvl w:val="0"/>
          <w:numId w:val="1"/>
        </w:numPr>
        <w:tabs>
          <w:tab w:val="clear" w:pos="709"/>
          <w:tab w:val="left" w:pos="709" w:leader="none"/>
        </w:tabs>
        <w:bidi w:val="0"/>
        <w:spacing w:before="0" w:after="0"/>
        <w:ind w:hanging="283" w:left="709"/>
        <w:jc w:val="left"/>
        <w:rPr/>
      </w:pPr>
      <w:r>
        <w:rPr/>
        <w:t>Федеральный закон от 26.10.2002 N 127-ФЗ (ред. от 31.07.2025) "О несостоятельности (банкротстве)" (с изм. и доп., вступ. в силу с 01.09.2025)</w:t>
      </w:r>
    </w:p>
    <w:p>
      <w:pPr>
        <w:pStyle w:val="BodyText"/>
        <w:numPr>
          <w:ilvl w:val="0"/>
          <w:numId w:val="1"/>
        </w:numPr>
        <w:tabs>
          <w:tab w:val="clear" w:pos="709"/>
          <w:tab w:val="left" w:pos="709" w:leader="none"/>
        </w:tabs>
        <w:bidi w:val="0"/>
        <w:ind w:hanging="283" w:left="709"/>
        <w:jc w:val="left"/>
        <w:rPr/>
      </w:pPr>
      <w:r>
        <w:rPr/>
        <w:t>Федеральный закон от 21.07.1997 N 118-ФЗ (ред. от 13.12.2024) "Об органах принудительного исполнения Российской Федерации"</w:t>
      </w:r>
    </w:p>
    <w:p>
      <w:pPr>
        <w:pStyle w:val="Heading2"/>
        <w:bidi w:val="0"/>
        <w:jc w:val="left"/>
        <w:rPr/>
      </w:pPr>
      <w:r>
        <w:rPr/>
        <w:t>2. Схема процесса</w:t>
      </w:r>
    </w:p>
    <w:p>
      <w:pPr>
        <w:pStyle w:val="BodyText"/>
        <w:bidi w:val="0"/>
        <w:jc w:val="left"/>
        <w:rPr/>
      </w:pPr>
      <w:r>
        <w:rPr>
          <w:rStyle w:val="Strong"/>
        </w:rPr>
        <w:t>Файл схемы:</w:t>
      </w:r>
      <w:r>
        <w:rPr/>
        <w:t> TBP91_obratit_SA_ispolneniyu_bpmn_</w:t>
      </w:r>
      <w:r>
        <w:rPr>
          <w:lang w:val="en-US"/>
        </w:rPr>
        <w:t>tobe</w:t>
      </w:r>
      <w:r>
        <w:rPr/>
        <w:t>. bpmn</w:t>
      </w:r>
    </w:p>
    <w:p>
      <w:pPr>
        <w:pStyle w:val="Heading2"/>
        <w:bidi w:val="0"/>
        <w:jc w:val="left"/>
        <w:rPr/>
      </w:pPr>
      <w:r>
        <w:rPr/>
        <w:t>3. Описание схемы бизнес-процессов</w:t>
      </w:r>
    </w:p>
    <w:tbl>
      <w:tblPr>
        <w:tblW w:w="22009" w:type="dxa"/>
        <w:jc w:val="left"/>
        <w:tblInd w:w="0" w:type="dxa"/>
        <w:tblLayout w:type="fixed"/>
        <w:tblCellMar>
          <w:top w:w="28" w:type="dxa"/>
          <w:left w:w="28" w:type="dxa"/>
          <w:bottom w:w="28" w:type="dxa"/>
          <w:right w:w="28" w:type="dxa"/>
        </w:tblCellMar>
      </w:tblPr>
      <w:tblGrid>
        <w:gridCol w:w="1184"/>
        <w:gridCol w:w="1624"/>
        <w:gridCol w:w="2039"/>
        <w:gridCol w:w="2153"/>
        <w:gridCol w:w="3182"/>
        <w:gridCol w:w="1553"/>
        <w:gridCol w:w="10274"/>
      </w:tblGrid>
      <w:tr>
        <w:trPr>
          <w:tblHeader w:val="true"/>
        </w:trPr>
        <w:tc>
          <w:tcPr>
            <w:tcW w:w="1184" w:type="dxa"/>
            <w:tcBorders/>
            <w:vAlign w:val="center"/>
          </w:tcPr>
          <w:p>
            <w:pPr>
              <w:pStyle w:val="Style15"/>
              <w:bidi w:val="0"/>
              <w:spacing w:before="0" w:after="283"/>
              <w:jc w:val="left"/>
              <w:rPr/>
            </w:pPr>
            <w:r>
              <w:rPr>
                <w:rStyle w:val="Strong"/>
              </w:rPr>
              <w:t>Номер действия</w:t>
            </w:r>
          </w:p>
        </w:tc>
        <w:tc>
          <w:tcPr>
            <w:tcW w:w="1624" w:type="dxa"/>
            <w:tcBorders/>
            <w:vAlign w:val="center"/>
          </w:tcPr>
          <w:p>
            <w:pPr>
              <w:pStyle w:val="Style15"/>
              <w:bidi w:val="0"/>
              <w:spacing w:before="0" w:after="283"/>
              <w:jc w:val="left"/>
              <w:rPr/>
            </w:pPr>
            <w:r>
              <w:rPr>
                <w:rStyle w:val="Strong"/>
              </w:rPr>
              <w:t>Роль</w:t>
            </w:r>
          </w:p>
        </w:tc>
        <w:tc>
          <w:tcPr>
            <w:tcW w:w="2039" w:type="dxa"/>
            <w:tcBorders/>
            <w:vAlign w:val="center"/>
          </w:tcPr>
          <w:p>
            <w:pPr>
              <w:pStyle w:val="Style15"/>
              <w:bidi w:val="0"/>
              <w:spacing w:before="0" w:after="283"/>
              <w:jc w:val="left"/>
              <w:rPr/>
            </w:pPr>
            <w:r>
              <w:rPr>
                <w:rStyle w:val="Strong"/>
              </w:rPr>
              <w:t>Входящие материалы</w:t>
            </w:r>
          </w:p>
        </w:tc>
        <w:tc>
          <w:tcPr>
            <w:tcW w:w="2153" w:type="dxa"/>
            <w:tcBorders/>
            <w:vAlign w:val="center"/>
          </w:tcPr>
          <w:p>
            <w:pPr>
              <w:pStyle w:val="Style15"/>
              <w:bidi w:val="0"/>
              <w:spacing w:before="0" w:after="283"/>
              <w:jc w:val="left"/>
              <w:rPr/>
            </w:pPr>
            <w:r>
              <w:rPr>
                <w:rStyle w:val="Strong"/>
              </w:rPr>
              <w:t>Исходящие материалы</w:t>
            </w:r>
          </w:p>
        </w:tc>
        <w:tc>
          <w:tcPr>
            <w:tcW w:w="3182" w:type="dxa"/>
            <w:tcBorders/>
            <w:vAlign w:val="center"/>
          </w:tcPr>
          <w:p>
            <w:pPr>
              <w:pStyle w:val="Style15"/>
              <w:bidi w:val="0"/>
              <w:spacing w:before="0" w:after="283"/>
              <w:jc w:val="left"/>
              <w:rPr/>
            </w:pPr>
            <w:r>
              <w:rPr>
                <w:rStyle w:val="Strong"/>
              </w:rPr>
              <w:t>Наименование шага процесса</w:t>
            </w:r>
          </w:p>
        </w:tc>
        <w:tc>
          <w:tcPr>
            <w:tcW w:w="1553" w:type="dxa"/>
            <w:tcBorders/>
            <w:vAlign w:val="center"/>
          </w:tcPr>
          <w:p>
            <w:pPr>
              <w:pStyle w:val="Style15"/>
              <w:bidi w:val="0"/>
              <w:spacing w:before="0" w:after="283"/>
              <w:jc w:val="left"/>
              <w:rPr/>
            </w:pPr>
            <w:r>
              <w:rPr>
                <w:rStyle w:val="Strong"/>
              </w:rPr>
              <w:t>Срок</w:t>
            </w:r>
          </w:p>
        </w:tc>
        <w:tc>
          <w:tcPr>
            <w:tcW w:w="10274" w:type="dxa"/>
            <w:tcBorders/>
            <w:vAlign w:val="center"/>
          </w:tcPr>
          <w:p>
            <w:pPr>
              <w:pStyle w:val="Style15"/>
              <w:bidi w:val="0"/>
              <w:spacing w:before="0" w:after="283"/>
              <w:jc w:val="left"/>
              <w:rPr/>
            </w:pPr>
            <w:r>
              <w:rPr>
                <w:rStyle w:val="Strong"/>
              </w:rPr>
              <w:t>Описание процесса</w:t>
            </w:r>
          </w:p>
        </w:tc>
      </w:tr>
      <w:tr>
        <w:trPr/>
        <w:tc>
          <w:tcPr>
            <w:tcW w:w="1184" w:type="dxa"/>
            <w:tcBorders/>
            <w:vAlign w:val="center"/>
          </w:tcPr>
          <w:p>
            <w:pPr>
              <w:pStyle w:val="Style15"/>
              <w:bidi w:val="0"/>
              <w:spacing w:before="0" w:after="283"/>
              <w:jc w:val="left"/>
              <w:rPr/>
            </w:pPr>
            <w:r>
              <w:rPr/>
              <w:t>0</w:t>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Возникла необходимость обратить СА к исполнению</w:t>
              <w:br/>
              <w:t>Стартовое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Согласно ст. 318 АПК РФ Судебные акты арбитражных судов приводятся в исполнение после вступления их в законную силу, за исключением случаев немедленного исполнения, в порядке, установленном АПК РФ и иными федеральными законами, регулирующими вопросы исполнительного производства. Принудительное исполнение судебного акта производится на основании выдаваемого арбитражным судом исполнительного листа, если иное не предусмотрено АПК РФ. Согласно ст. 229.1 АПК РФ Судебный приказ является одновременно исполнительным документом и приводится в исполнение в порядке, установленном для исполнения судебных решений. По делам об административных правонарушениях и в ряде других случаев предусмотренных АПК РФ и ФЗ «Об исполнительном производстве»</w:t>
            </w:r>
          </w:p>
          <w:p>
            <w:pPr>
              <w:pStyle w:val="Style15"/>
              <w:bidi w:val="0"/>
              <w:spacing w:before="0" w:after="283"/>
              <w:jc w:val="left"/>
              <w:rPr/>
            </w:pPr>
            <w:r>
              <w:rPr/>
              <w:t>У судьи возникла необходимость обратить СА к исполнению. Старт процесса.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Система</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Отчет</w:t>
            </w:r>
          </w:p>
        </w:tc>
        <w:tc>
          <w:tcPr>
            <w:tcW w:w="3182" w:type="dxa"/>
            <w:tcBorders/>
            <w:vAlign w:val="center"/>
          </w:tcPr>
          <w:p>
            <w:pPr>
              <w:pStyle w:val="Style15"/>
              <w:bidi w:val="0"/>
              <w:spacing w:before="0" w:after="283"/>
              <w:jc w:val="left"/>
              <w:rPr/>
            </w:pPr>
            <w:r>
              <w:rPr/>
              <w:t>Сформировать отчет</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w:t>
            </w:r>
            <w:r>
              <w:rPr/>
              <w:t xml:space="preserve">Сформировать отчет», </w:t>
            </w:r>
            <w:r>
              <w:rPr/>
              <w:t>в рамках которого система формирует отчет в виде т</w:t>
            </w:r>
            <w:r>
              <w:rPr/>
              <w:t>аблиц</w:t>
            </w:r>
            <w:r>
              <w:rPr/>
              <w:t>ы</w:t>
            </w:r>
            <w:r>
              <w:rPr/>
              <w:t xml:space="preserve"> данных </w:t>
            </w:r>
            <w:r>
              <w:rPr/>
              <w:t xml:space="preserve">о сроках, судебном акте и иных данных по делу </w:t>
            </w:r>
            <w:r>
              <w:rPr/>
              <w:t xml:space="preserve">в личном кабинете судьи и помощника </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Система</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 xml:space="preserve">Проверить срок </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Переход к типовому процессу «Проверить срок». </w:t>
            </w:r>
            <w:r>
              <w:rPr/>
              <w:t>Система проверяет срок вступления СА в законную силу.</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Отчет</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 xml:space="preserve">Проверить выводы системы </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w:t>
            </w:r>
            <w:r>
              <w:rPr/>
              <w:t xml:space="preserve">Проверить выводы системы», </w:t>
            </w:r>
            <w:r>
              <w:rPr/>
              <w:t>в рамках которого судья валидирует данные из отчета и данные по срокам, предоставленные системой.</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Что необходимо выдать?</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В зависимости от того, что будет являться основанием для исполнения, определяется ветка движения по процессу.  Судья решает, какой документ необходимо выдать для того, чтобы привести решение суда в исполнение.</w:t>
            </w:r>
          </w:p>
          <w:p>
            <w:pPr>
              <w:pStyle w:val="Style15"/>
              <w:bidi w:val="0"/>
              <w:spacing w:before="0" w:after="283"/>
              <w:jc w:val="left"/>
              <w:rPr/>
            </w:pPr>
            <w:r>
              <w:rPr/>
              <w:t xml:space="preserve">Если необходимо выдать судебный приказ, то переход к шагу </w:t>
            </w:r>
            <w:r>
              <w:rPr/>
              <w:t>5</w:t>
            </w:r>
            <w:r>
              <w:rPr/>
              <w:t xml:space="preserve"> процесса</w:t>
            </w:r>
          </w:p>
          <w:p>
            <w:pPr>
              <w:pStyle w:val="Style15"/>
              <w:bidi w:val="0"/>
              <w:spacing w:before="0" w:after="283"/>
              <w:jc w:val="left"/>
              <w:rPr/>
            </w:pPr>
            <w:r>
              <w:rPr/>
              <w:t>Если необходимо выдать исполнительный лист, то переход к шагу 1</w:t>
            </w:r>
            <w:r>
              <w:rPr/>
              <w:t>4</w:t>
            </w:r>
            <w:r>
              <w:rPr/>
              <w:t xml:space="preserve"> процесса</w:t>
            </w:r>
          </w:p>
          <w:p>
            <w:pPr>
              <w:pStyle w:val="Style15"/>
              <w:bidi w:val="0"/>
              <w:spacing w:before="0" w:after="283"/>
              <w:jc w:val="left"/>
              <w:rPr/>
            </w:pPr>
            <w:r>
              <w:rPr/>
              <w:t>Если необходимо выдать решение суда (судебный акт), то переход к шагу 5</w:t>
            </w:r>
            <w:r>
              <w:rPr/>
              <w:t>3</w:t>
            </w:r>
            <w:r>
              <w:rPr/>
              <w:t xml:space="preserve"> процесса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Контроль надлежащего уведомления</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Судья должен убедиться, что должник был извещен о том, что вынесен судебный приказ.</w:t>
            </w:r>
          </w:p>
          <w:p>
            <w:pPr>
              <w:pStyle w:val="Style15"/>
              <w:bidi w:val="0"/>
              <w:spacing w:before="0" w:after="283"/>
              <w:jc w:val="left"/>
              <w:rPr/>
            </w:pPr>
            <w:r>
              <w:rPr/>
              <w:t xml:space="preserve">Переход к типовому процессу "Контроль надлежащего уведомления", результатом которого будет произведенная </w:t>
            </w:r>
            <w:r>
              <w:rPr/>
              <w:t>системой</w:t>
            </w:r>
            <w:r>
              <w:rPr/>
              <w:t xml:space="preserve"> проверка надлежащего уведомления должника. </w:t>
            </w:r>
            <w:r>
              <w:rPr/>
              <w:t>Судья валидирует вывод системы внутри процесса.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Судебный приказ вступил в законную силу?</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По результатам проверки срока судья смотрит вступил ли в законную силу судебный приказ?</w:t>
            </w:r>
          </w:p>
          <w:p>
            <w:pPr>
              <w:pStyle w:val="Style15"/>
              <w:bidi w:val="0"/>
              <w:spacing w:before="0" w:after="283"/>
              <w:jc w:val="left"/>
              <w:rPr/>
            </w:pPr>
            <w:r>
              <w:rPr/>
              <w:t xml:space="preserve">Если «Да», то переход к шагу </w:t>
            </w:r>
            <w:r>
              <w:rPr/>
              <w:t>7</w:t>
            </w:r>
          </w:p>
          <w:p>
            <w:pPr>
              <w:pStyle w:val="Style15"/>
              <w:bidi w:val="0"/>
              <w:spacing w:before="0" w:after="283"/>
              <w:jc w:val="left"/>
              <w:rPr/>
            </w:pPr>
            <w:r>
              <w:rPr/>
              <w:t xml:space="preserve">Если «Нет», то переход к шагу </w:t>
            </w:r>
            <w:r>
              <w:rPr/>
              <w:t>8</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Переход к шагу 2</w:t>
            </w:r>
            <w:r>
              <w:rPr/>
              <w:t>4</w:t>
            </w:r>
            <w:r>
              <w:rPr/>
              <w:t>. Событие-ссылка.</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Если судебный приказ вступил в законную силу, то дальнейшее движение процесса происходит с шага 2</w:t>
            </w:r>
            <w:r>
              <w:rPr/>
              <w:t>4</w:t>
            </w:r>
            <w:r>
              <w:rPr/>
              <w:t xml:space="preserve"> процесса.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Определение</w:t>
            </w:r>
          </w:p>
        </w:tc>
        <w:tc>
          <w:tcPr>
            <w:tcW w:w="3182" w:type="dxa"/>
            <w:tcBorders/>
            <w:vAlign w:val="center"/>
          </w:tcPr>
          <w:p>
            <w:pPr>
              <w:pStyle w:val="Style15"/>
              <w:bidi w:val="0"/>
              <w:spacing w:before="0" w:after="283"/>
              <w:jc w:val="left"/>
              <w:rPr/>
            </w:pPr>
            <w:r>
              <w:rPr/>
              <w:t>Переход к типовому процессу "Принять СА"</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"Принять СА", результатом которого будет вынесение судьей определения об отказ в выдаче СП в связи с тем, что он еще не вступил в законную силу.</w:t>
            </w:r>
          </w:p>
          <w:p>
            <w:pPr>
              <w:pStyle w:val="Style15"/>
              <w:bidi w:val="0"/>
              <w:spacing w:before="0" w:after="283"/>
              <w:jc w:val="left"/>
              <w:rPr/>
            </w:pPr>
            <w:r>
              <w:rPr/>
              <w:t>Автогенерация определения на основе шаблона с автозаполнением данных по делу.</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Параллельный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Параллельный шлюз для координации процессов. Шаги </w:t>
            </w:r>
            <w:r>
              <w:rPr/>
              <w:t>10</w:t>
            </w:r>
            <w:r>
              <w:rPr/>
              <w:t xml:space="preserve"> и 1</w:t>
            </w:r>
            <w:r>
              <w:rPr/>
              <w:t>2</w:t>
            </w:r>
            <w:r>
              <w:rPr/>
              <w:t xml:space="preserve"> процесса происходят параллельно.</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Ожидать вступления СП в законную силу</w:t>
            </w:r>
          </w:p>
        </w:tc>
        <w:tc>
          <w:tcPr>
            <w:tcW w:w="1553" w:type="dxa"/>
            <w:tcBorders/>
            <w:vAlign w:val="center"/>
          </w:tcPr>
          <w:p>
            <w:pPr>
              <w:pStyle w:val="Style15"/>
              <w:bidi w:val="0"/>
              <w:spacing w:before="0" w:after="283"/>
              <w:jc w:val="left"/>
              <w:rPr/>
            </w:pPr>
            <w:r>
              <w:rPr/>
              <w:t>10 дней со дня получения должником копии СП</w:t>
            </w:r>
          </w:p>
        </w:tc>
        <w:tc>
          <w:tcPr>
            <w:tcW w:w="10274" w:type="dxa"/>
            <w:tcBorders/>
            <w:vAlign w:val="center"/>
          </w:tcPr>
          <w:p>
            <w:pPr>
              <w:pStyle w:val="Style15"/>
              <w:bidi w:val="0"/>
              <w:spacing w:before="0" w:after="283"/>
              <w:jc w:val="left"/>
              <w:rPr/>
            </w:pPr>
            <w:r>
              <w:rPr/>
              <w:t>Ожидать вступления СП в законную силу.</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 xml:space="preserve">Переход к шагу </w:t>
            </w:r>
            <w:r>
              <w:rPr/>
              <w:t>5</w:t>
            </w:r>
            <w:r>
              <w:rPr/>
              <w:t>. Событие ссылка.</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Судья ожидает вступления СП в законную силу. После этого снова должен произойти контроль уведомления и проверка срока, поэтому процесс продолжается с шага </w:t>
            </w:r>
            <w:r>
              <w:rPr/>
              <w:t>5</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Переход к типовому процессу "Направить документ"</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"Направить документ", результатом которого будет направление канцелярией суда определения об отказе в выдаче СП заявителю.</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Завершение ветки процесса с направлением определения заявителю.</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СА, по вопросу которого выдается ИЛ, вступил в законную силу?</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Проверив срок, судья решает вступил ли СА в законную силу?</w:t>
            </w:r>
          </w:p>
          <w:p>
            <w:pPr>
              <w:pStyle w:val="Style15"/>
              <w:bidi w:val="0"/>
              <w:spacing w:before="0" w:after="283"/>
              <w:jc w:val="left"/>
              <w:rPr/>
            </w:pPr>
            <w:r>
              <w:rPr/>
              <w:t>Если «Да», то переход к шагу 17</w:t>
            </w:r>
          </w:p>
          <w:p>
            <w:pPr>
              <w:pStyle w:val="Style15"/>
              <w:bidi w:val="0"/>
              <w:spacing w:before="0" w:after="283"/>
              <w:jc w:val="left"/>
              <w:rPr/>
            </w:pPr>
            <w:r>
              <w:rPr/>
              <w:t>Если «Нет», то переход к шагу 15</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СА подлежит немедленному исполнению?</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Согласно ст. 182 АПК РФ решение арбитражного суда приводится в исполнение после вступления его в законную силу, за исключением случаев немедленного исполнения. Судья проверяет, подлежит ли судебный акт немедленному исполнению</w:t>
            </w:r>
          </w:p>
          <w:p>
            <w:pPr>
              <w:pStyle w:val="Style15"/>
              <w:bidi w:val="0"/>
              <w:spacing w:before="0" w:after="283"/>
              <w:jc w:val="left"/>
              <w:rPr/>
            </w:pPr>
            <w:r>
              <w:rPr/>
              <w:t>Если «Да», то переход к шагу 23</w:t>
            </w:r>
          </w:p>
          <w:p>
            <w:pPr>
              <w:pStyle w:val="Style15"/>
              <w:bidi w:val="0"/>
              <w:spacing w:before="0" w:after="283"/>
              <w:jc w:val="left"/>
              <w:rPr/>
            </w:pPr>
            <w:r>
              <w:rPr/>
              <w:t>Если «Нет», то переход к шагу 16</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Ожидать вступление СА в законную силу</w:t>
              <w:br/>
              <w:t>Промежуточное событие (Таймер)</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Судья ожидает вступление СА в законную силу. Согласно ст. 180 АПК РФ судебный акт вступает в законную силу по истечении срока, установленного для его обжалования.</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Закрывающий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Закрывающий шлюз, объединяющий потоки шага 14 и шага 15 процесса.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Система</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Проверить добровольность исполнения</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Система проверяет добровольную оплату, уведомляет судью о её наличии или отсутстви</w:t>
            </w:r>
            <w:r>
              <w:rPr/>
              <w:t>и</w:t>
            </w:r>
            <w:r>
              <w:rPr/>
              <w:t>, и записывает данные о дате проверки.</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СА был исполнен добровольно?</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Судья смотрит были ли представлены должником документы, подтверждающие добровольное исполнение судебного акта.</w:t>
            </w:r>
          </w:p>
          <w:p>
            <w:pPr>
              <w:pStyle w:val="Style15"/>
              <w:bidi w:val="0"/>
              <w:spacing w:before="0" w:after="283"/>
              <w:jc w:val="left"/>
              <w:rPr/>
            </w:pPr>
            <w:r>
              <w:rPr/>
            </w:r>
          </w:p>
          <w:p>
            <w:pPr>
              <w:pStyle w:val="Style15"/>
              <w:bidi w:val="0"/>
              <w:spacing w:before="0" w:after="283"/>
              <w:jc w:val="left"/>
              <w:rPr/>
            </w:pPr>
            <w:r>
              <w:rPr/>
              <w:t>Если «Да», то переход к шагу 20</w:t>
            </w:r>
          </w:p>
          <w:p>
            <w:pPr>
              <w:pStyle w:val="Style15"/>
              <w:bidi w:val="0"/>
              <w:spacing w:before="0" w:after="283"/>
              <w:jc w:val="left"/>
              <w:rPr/>
            </w:pPr>
            <w:r>
              <w:rPr/>
              <w:t>Если «Нет», то переход к шагу 23</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Определение об отказе в выдаче ИЛ</w:t>
            </w:r>
          </w:p>
        </w:tc>
        <w:tc>
          <w:tcPr>
            <w:tcW w:w="3182" w:type="dxa"/>
            <w:tcBorders/>
            <w:vAlign w:val="center"/>
          </w:tcPr>
          <w:p>
            <w:pPr>
              <w:pStyle w:val="Style15"/>
              <w:bidi w:val="0"/>
              <w:spacing w:before="0" w:after="283"/>
              <w:jc w:val="left"/>
              <w:rPr/>
            </w:pPr>
            <w:r>
              <w:rPr/>
              <w:t>Переход к типовому процессу "Принять СА"</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"Принять СА", результатом которого будет вынесение судьей определения об отказе в выдаче исполнительного листа в связи с добровольным исполнением СА.</w:t>
            </w:r>
          </w:p>
          <w:p>
            <w:pPr>
              <w:pStyle w:val="Style15"/>
              <w:bidi w:val="0"/>
              <w:spacing w:before="0" w:after="283"/>
              <w:jc w:val="left"/>
              <w:rPr/>
            </w:pPr>
            <w:r>
              <w:rPr/>
              <w:t>Автогенерация определения на основе шаблона с автозаполнением данных по делу.</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Переход к типовому процессу "Направить документ"</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"Направить документ", результатом которого будет направление заявителю определения об отказе в выдаче исполнительного листа.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Завершение процесса обращения СА к исполнению. СА исполнен добровольно.</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Закрывающий шлюз, объединяющий потоки шага 15 и шага 19 процесса.</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Закрывающий шлюз, объединяющий потоки шага 15 и шага 19 процесса.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Помощник судьи</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Что является исполнительным документом?</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Помощник судьи смотрит, что является исполнительным документом</w:t>
            </w:r>
          </w:p>
          <w:p>
            <w:pPr>
              <w:pStyle w:val="Style15"/>
              <w:bidi w:val="0"/>
              <w:spacing w:before="0" w:after="283"/>
              <w:jc w:val="left"/>
              <w:rPr/>
            </w:pPr>
            <w:r>
              <w:rPr/>
              <w:t>Если исполнительный лист, то переход к шагу 2</w:t>
            </w:r>
            <w:r>
              <w:rPr/>
              <w:t>7</w:t>
            </w:r>
            <w:r>
              <w:rPr/>
              <w:t>.</w:t>
            </w:r>
          </w:p>
          <w:p>
            <w:pPr>
              <w:pStyle w:val="Style15"/>
              <w:bidi w:val="0"/>
              <w:spacing w:before="0" w:after="283"/>
              <w:jc w:val="left"/>
              <w:rPr/>
            </w:pPr>
            <w:r>
              <w:rPr/>
              <w:t>Если судебный приказ, то переход к шагу 25</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Система</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Э</w:t>
            </w:r>
            <w:r>
              <w:rPr/>
              <w:t>лектронн</w:t>
            </w:r>
            <w:r>
              <w:rPr/>
              <w:t>ая</w:t>
            </w:r>
            <w:r>
              <w:rPr/>
              <w:t xml:space="preserve"> копи</w:t>
            </w:r>
            <w:r>
              <w:rPr/>
              <w:t>я</w:t>
            </w:r>
            <w:r>
              <w:rPr/>
              <w:t xml:space="preserve"> судебного приказа</w:t>
            </w:r>
          </w:p>
        </w:tc>
        <w:tc>
          <w:tcPr>
            <w:tcW w:w="3182" w:type="dxa"/>
            <w:tcBorders/>
            <w:vAlign w:val="center"/>
          </w:tcPr>
          <w:p>
            <w:pPr>
              <w:pStyle w:val="Style15"/>
              <w:bidi w:val="0"/>
              <w:spacing w:before="0" w:after="283"/>
              <w:jc w:val="left"/>
              <w:rPr/>
            </w:pPr>
            <w:r>
              <w:rPr/>
              <w:t xml:space="preserve">Сформировать электронную копию судебного приказа </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Система формирует электронную копию судебного приказа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Система</w:t>
            </w:r>
          </w:p>
        </w:tc>
        <w:tc>
          <w:tcPr>
            <w:tcW w:w="2039" w:type="dxa"/>
            <w:tcBorders/>
            <w:vAlign w:val="center"/>
          </w:tcPr>
          <w:p>
            <w:pPr>
              <w:pStyle w:val="Style15"/>
              <w:bidi w:val="0"/>
              <w:spacing w:before="0" w:after="283"/>
              <w:jc w:val="left"/>
              <w:rPr/>
            </w:pPr>
            <w:r>
              <w:rPr/>
            </w:r>
          </w:p>
        </w:tc>
        <w:tc>
          <w:tcPr>
            <w:tcW w:w="2153" w:type="dxa"/>
            <w:tcBorders/>
            <w:vAlign w:val="center"/>
          </w:tcPr>
          <w:p>
            <w:pPr>
              <w:pStyle w:val="Style15"/>
              <w:bidi w:val="0"/>
              <w:spacing w:before="0" w:after="283"/>
              <w:jc w:val="left"/>
              <w:rPr/>
            </w:pPr>
            <w:r>
              <w:rPr/>
            </w:r>
          </w:p>
        </w:tc>
        <w:tc>
          <w:tcPr>
            <w:tcW w:w="3182" w:type="dxa"/>
            <w:tcBorders/>
            <w:vAlign w:val="center"/>
          </w:tcPr>
          <w:p>
            <w:pPr>
              <w:pStyle w:val="Style15"/>
              <w:bidi w:val="0"/>
              <w:spacing w:before="0" w:after="283"/>
              <w:jc w:val="left"/>
              <w:rPr/>
            </w:pPr>
            <w:r>
              <w:rPr/>
              <w:t xml:space="preserve">Проставить электронную гербовую печать </w:t>
            </w:r>
          </w:p>
        </w:tc>
        <w:tc>
          <w:tcPr>
            <w:tcW w:w="1553" w:type="dxa"/>
            <w:tcBorders/>
            <w:vAlign w:val="center"/>
          </w:tcPr>
          <w:p>
            <w:pPr>
              <w:pStyle w:val="Style15"/>
              <w:bidi w:val="0"/>
              <w:spacing w:before="0" w:after="283"/>
              <w:jc w:val="left"/>
              <w:rPr/>
            </w:pPr>
            <w:r>
              <w:rPr/>
            </w:r>
          </w:p>
        </w:tc>
        <w:tc>
          <w:tcPr>
            <w:tcW w:w="10274" w:type="dxa"/>
            <w:tcBorders/>
            <w:vAlign w:val="center"/>
          </w:tcPr>
          <w:p>
            <w:pPr>
              <w:pStyle w:val="Style15"/>
              <w:bidi w:val="0"/>
              <w:spacing w:before="0" w:after="283"/>
              <w:jc w:val="left"/>
              <w:rPr/>
            </w:pPr>
            <w:r>
              <w:rPr/>
              <w:t>Система проставляет электронную гербовую печать на судебном приказе (в виде штрих-кода)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Помощник судьи</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СА принят в пользу нескольких истцов или против нескольких ответчиков/ исполнение должно быть произведено в различных местах/СА о взыскании денежных сумм с солидарных ответчиков?</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Помощник судьи смотрит СА принят в пользу нескольких истцов или против нескольких ответчиков или исполнение должно быть произведено в различных местах или СА о взыскании денежных сумм с солидарных ответчиков?</w:t>
            </w:r>
          </w:p>
          <w:p>
            <w:pPr>
              <w:pStyle w:val="Style15"/>
              <w:bidi w:val="0"/>
              <w:spacing w:before="0" w:after="283"/>
              <w:jc w:val="left"/>
              <w:rPr/>
            </w:pPr>
            <w:r>
              <w:rPr/>
              <w:t>Если «Да», то переход к шагу 2</w:t>
            </w:r>
            <w:r>
              <w:rPr/>
              <w:t>9</w:t>
            </w:r>
          </w:p>
          <w:p>
            <w:pPr>
              <w:pStyle w:val="Style15"/>
              <w:bidi w:val="0"/>
              <w:spacing w:before="0" w:after="283"/>
              <w:jc w:val="left"/>
              <w:rPr/>
            </w:pPr>
            <w:r>
              <w:rPr/>
              <w:t>Если «Нет», то переход к шагу 2</w:t>
            </w:r>
            <w:r>
              <w:rPr/>
              <w:t>8</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Помощник судьи</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Исполнительный лист</w:t>
            </w:r>
          </w:p>
        </w:tc>
        <w:tc>
          <w:tcPr>
            <w:tcW w:w="3182" w:type="dxa"/>
            <w:tcBorders/>
            <w:vAlign w:val="center"/>
          </w:tcPr>
          <w:p>
            <w:pPr>
              <w:pStyle w:val="Style15"/>
              <w:bidi w:val="0"/>
              <w:spacing w:before="0" w:after="283"/>
              <w:jc w:val="left"/>
              <w:rPr/>
            </w:pPr>
            <w:r>
              <w:rPr/>
              <w:t>Оформить исполнительный лист</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"Оформить исполнительный лист", результатом которого будет изготовленный в соответствии с требованиями закона исполнительный лист, готовый для направления/выдачи.</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Помощник судьи</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Необходимое количество ИЛ</w:t>
            </w:r>
          </w:p>
        </w:tc>
        <w:tc>
          <w:tcPr>
            <w:tcW w:w="3182" w:type="dxa"/>
            <w:tcBorders/>
            <w:vAlign w:val="center"/>
          </w:tcPr>
          <w:p>
            <w:pPr>
              <w:pStyle w:val="Style15"/>
              <w:bidi w:val="0"/>
              <w:spacing w:before="0" w:after="283"/>
              <w:jc w:val="left"/>
              <w:rPr/>
            </w:pPr>
            <w:r>
              <w:rPr/>
              <w:t>Определить количество выдаваемых ИЛ</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Помощник судьи определяет количество выдаваемых исполнительных листов, если СА принят в пользу нескольких истцов или против нескольких ответчиков или исполнение должно быть произведено в различных местах или СА о взыскании денежных сумм с солидарных ответчиков. В этом случае изготавливается несколько ИЛ с точным указанием в каждом из них места исполнения или той части судебного акта, которая подлежит исполнению по данному исполнительному листу/либо кол-во ИЛ по числу солидарных ответчиков.</w:t>
            </w:r>
          </w:p>
          <w:p>
            <w:pPr>
              <w:pStyle w:val="Style15"/>
              <w:bidi w:val="0"/>
              <w:spacing w:before="0" w:after="283"/>
              <w:jc w:val="left"/>
              <w:rPr/>
            </w:pPr>
            <w:r>
              <w:rPr/>
              <w:t>Помощник судьи фиксирует количество ИЛ в системе.</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Помощник судьи</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Необходимое количество ИЛ</w:t>
            </w:r>
          </w:p>
        </w:tc>
        <w:tc>
          <w:tcPr>
            <w:tcW w:w="3182" w:type="dxa"/>
            <w:tcBorders/>
            <w:vAlign w:val="center"/>
          </w:tcPr>
          <w:p>
            <w:pPr>
              <w:pStyle w:val="Style15"/>
              <w:bidi w:val="0"/>
              <w:spacing w:before="0" w:after="283"/>
              <w:jc w:val="left"/>
              <w:rPr/>
            </w:pPr>
            <w:r>
              <w:rPr/>
              <w:t>Переход к типовому процессу "Оформить исполнительный лист",</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"Оформить исполнительный лист", результатом которого будут изготовленные в соответствии с требованиями закона исполнительные листы в необходимом количестве, готовые для направления/выдачи.</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Помощник судьи</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Закрывающий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Закрывающий шлюз</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Помощник судьи</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Закрывающий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Закрывающий шлюз</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Есть воля взыскателя/установлено законом направление на исполнение судом?</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Если лицо ходатайствовало о направлении ИЛ/СП для исполнения или ИЛ по решению о присуждении компенсации за нарушение права на судопроизводство в разумный срок или права на исполнение судебного акта в разумный срок, то на исполнение документы будет направлять суд самостоятельно. Судья проверяет есть воля взыскателя/установлено законом направление на исполнение судом?</w:t>
            </w:r>
          </w:p>
          <w:p>
            <w:pPr>
              <w:pStyle w:val="Style15"/>
              <w:bidi w:val="0"/>
              <w:spacing w:before="0" w:after="283"/>
              <w:jc w:val="left"/>
              <w:rPr/>
            </w:pPr>
            <w:r>
              <w:rPr/>
              <w:t>Если «Да», то переход к шагу 4</w:t>
            </w:r>
            <w:r>
              <w:rPr/>
              <w:t>3</w:t>
            </w:r>
          </w:p>
          <w:p>
            <w:pPr>
              <w:pStyle w:val="Style15"/>
              <w:bidi w:val="0"/>
              <w:spacing w:before="0" w:after="283"/>
              <w:jc w:val="left"/>
              <w:rPr/>
            </w:pPr>
            <w:r>
              <w:rPr/>
              <w:t>Если «Нет», то переход к шагу 3</w:t>
            </w:r>
            <w:r>
              <w:rPr/>
              <w:t>4</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Система</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Проверить заявление лица о выдаче ИЛ/СП</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Система проверяет наличие заявления о выдаче исполнительного листа/судебного приказа от лица </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r>
          </w:p>
        </w:tc>
        <w:tc>
          <w:tcPr>
            <w:tcW w:w="2153" w:type="dxa"/>
            <w:tcBorders/>
            <w:vAlign w:val="center"/>
          </w:tcPr>
          <w:p>
            <w:pPr>
              <w:pStyle w:val="Style15"/>
              <w:bidi w:val="0"/>
              <w:spacing w:before="0" w:after="283"/>
              <w:jc w:val="left"/>
              <w:rPr/>
            </w:pPr>
            <w:r>
              <w:rPr/>
            </w:r>
          </w:p>
        </w:tc>
        <w:tc>
          <w:tcPr>
            <w:tcW w:w="3182" w:type="dxa"/>
            <w:tcBorders/>
            <w:vAlign w:val="center"/>
          </w:tcPr>
          <w:p>
            <w:pPr>
              <w:pStyle w:val="Style15"/>
              <w:bidi w:val="0"/>
              <w:spacing w:before="0" w:after="283"/>
              <w:jc w:val="left"/>
              <w:rPr/>
            </w:pPr>
            <w:r>
              <w:rPr/>
              <w:t>Проверить выводы системы</w:t>
            </w:r>
          </w:p>
        </w:tc>
        <w:tc>
          <w:tcPr>
            <w:tcW w:w="1553" w:type="dxa"/>
            <w:tcBorders/>
            <w:vAlign w:val="center"/>
          </w:tcPr>
          <w:p>
            <w:pPr>
              <w:pStyle w:val="Style15"/>
              <w:bidi w:val="0"/>
              <w:spacing w:before="0" w:after="283"/>
              <w:jc w:val="left"/>
              <w:rPr/>
            </w:pPr>
            <w:r>
              <w:rPr/>
            </w:r>
          </w:p>
        </w:tc>
        <w:tc>
          <w:tcPr>
            <w:tcW w:w="10274" w:type="dxa"/>
            <w:tcBorders/>
            <w:vAlign w:val="center"/>
          </w:tcPr>
          <w:p>
            <w:pPr>
              <w:pStyle w:val="Style15"/>
              <w:bidi w:val="0"/>
              <w:spacing w:before="0" w:after="283"/>
              <w:jc w:val="left"/>
              <w:rPr/>
            </w:pPr>
            <w:r>
              <w:rPr/>
              <w:t>Переход к типовому процессу «Проверить выводы системы», в рамках которого судья валидирует проверку системой наличия заявления.</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Есть заявление о выдаче ИЛ/СП?</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Судья проверяет есть заявление о выдаче ИЛ/СП</w:t>
            </w:r>
          </w:p>
          <w:p>
            <w:pPr>
              <w:pStyle w:val="Style15"/>
              <w:bidi w:val="0"/>
              <w:spacing w:before="0" w:after="283"/>
              <w:jc w:val="left"/>
              <w:rPr/>
            </w:pPr>
            <w:r>
              <w:rPr/>
              <w:t>Если «Да», то переход к шагу 3</w:t>
            </w:r>
            <w:r>
              <w:rPr/>
              <w:t>8</w:t>
            </w:r>
          </w:p>
          <w:p>
            <w:pPr>
              <w:pStyle w:val="Style15"/>
              <w:bidi w:val="0"/>
              <w:spacing w:before="0" w:after="283"/>
              <w:jc w:val="left"/>
              <w:rPr/>
            </w:pPr>
            <w:r>
              <w:rPr/>
              <w:t>Если «Нет», то переход к шагу 3</w:t>
            </w:r>
            <w:r>
              <w:rPr/>
              <w:t>7</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Отсутствуют заявления лица о выдаче ИЛ/СП </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Необходимо направить заявителю?</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Канцелярия суда смотрит, куда согласно сопроводительному письму необходимо направить документ-заявителю или лицу, обязанному судом исполнить СА. Кому следует направить ИЛ/СП заявитель указал в своем заявлении о выдаче исполнительного листа.</w:t>
            </w:r>
          </w:p>
          <w:p>
            <w:pPr>
              <w:pStyle w:val="Style15"/>
              <w:bidi w:val="0"/>
              <w:spacing w:before="0" w:after="283"/>
              <w:jc w:val="left"/>
              <w:rPr/>
            </w:pPr>
            <w:r>
              <w:rPr/>
              <w:t>Канцелярия решает необходимо направить заявителю?</w:t>
            </w:r>
          </w:p>
          <w:p>
            <w:pPr>
              <w:pStyle w:val="Style15"/>
              <w:bidi w:val="0"/>
              <w:spacing w:before="0" w:after="283"/>
              <w:jc w:val="left"/>
              <w:rPr/>
            </w:pPr>
            <w:r>
              <w:rPr/>
              <w:t>Если «Да», то переход к шагу 3</w:t>
            </w:r>
            <w:r>
              <w:rPr/>
              <w:t>9</w:t>
            </w:r>
          </w:p>
          <w:p>
            <w:pPr>
              <w:pStyle w:val="Style15"/>
              <w:bidi w:val="0"/>
              <w:spacing w:before="0" w:after="283"/>
              <w:jc w:val="left"/>
              <w:rPr/>
            </w:pPr>
            <w:r>
              <w:rPr/>
              <w:t>Если «Нет», то переход к шагу 4</w:t>
            </w:r>
            <w:r>
              <w:rPr/>
              <w:t>1</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Переход к типовому процессу "Направить документ"</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"Направить документ", результатом которого будет направленный заявителю ИЛ.</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Завершение процесса исполнения СА. Исполнительный документ направлен взыскателю </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Направить документ</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"Направить документ", результатом которого будет направленный ИЛ в адрес лица, обязанного судом исполнить 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Завершение процесса исполнения СА. Исполнительный документ направлен лицу обязанному судом исполнить СА </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Закрывающий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Закрывающий шлюз, объединяющий потоки шага 3</w:t>
            </w:r>
            <w:r>
              <w:rPr/>
              <w:t>3</w:t>
            </w:r>
            <w:r>
              <w:rPr/>
              <w:t xml:space="preserve"> и 7</w:t>
            </w:r>
            <w:r>
              <w:rPr/>
              <w:t>5</w:t>
            </w:r>
            <w:r>
              <w:rPr/>
              <w:t xml:space="preserve"> процесса.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Направить ИЛ/СП на исполнение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Если лицо ходатайствовало о направлении ИЛ/СП для исполнения или ИЛ по решению о присуждении компенсации за нарушение права на судопроизводство в разумный срок или права на исполнение судебного акта в разумный срок, то на исполнение документы будет направлять суд самостоятельно. Судья направляет ИЛ/СП на исполнение </w:t>
            </w:r>
            <w:r>
              <w:rPr/>
              <w:t>непосредственно в системе.</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Система</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Пакет данных</w:t>
            </w:r>
          </w:p>
        </w:tc>
        <w:tc>
          <w:tcPr>
            <w:tcW w:w="3182" w:type="dxa"/>
            <w:tcBorders/>
            <w:vAlign w:val="center"/>
          </w:tcPr>
          <w:p>
            <w:pPr>
              <w:pStyle w:val="Style15"/>
              <w:bidi w:val="0"/>
              <w:spacing w:before="0" w:after="283"/>
              <w:jc w:val="left"/>
              <w:rPr/>
            </w:pPr>
            <w:r>
              <w:rPr/>
              <w:t xml:space="preserve">Сформировать пакет данных </w:t>
            </w:r>
          </w:p>
        </w:tc>
        <w:tc>
          <w:tcPr>
            <w:tcW w:w="1553" w:type="dxa"/>
            <w:tcBorders/>
            <w:vAlign w:val="center"/>
          </w:tcPr>
          <w:p>
            <w:pPr>
              <w:pStyle w:val="Style15"/>
              <w:bidi w:val="0"/>
              <w:spacing w:before="0" w:after="283"/>
              <w:jc w:val="left"/>
              <w:rPr/>
            </w:pPr>
            <w:r>
              <w:rPr/>
            </w:r>
          </w:p>
        </w:tc>
        <w:tc>
          <w:tcPr>
            <w:tcW w:w="10274" w:type="dxa"/>
            <w:tcBorders/>
            <w:vAlign w:val="center"/>
          </w:tcPr>
          <w:p>
            <w:pPr>
              <w:pStyle w:val="Style15"/>
              <w:bidi w:val="0"/>
              <w:spacing w:before="0" w:after="283"/>
              <w:jc w:val="left"/>
              <w:rPr/>
            </w:pPr>
            <w:r>
              <w:rPr/>
              <w:t>Система формирует пакет данных (</w:t>
            </w:r>
            <w:r>
              <w:rPr/>
              <w:t>Исполнительный лист/решение суда</w:t>
            </w:r>
            <w:r>
              <w:rPr/>
              <w:t>) для направления на исполнение.</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Параллельный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Параллельный шлюз для координации процессов. Шаги 4</w:t>
            </w:r>
            <w:r>
              <w:rPr/>
              <w:t>7</w:t>
            </w:r>
            <w:r>
              <w:rPr/>
              <w:t xml:space="preserve"> и </w:t>
            </w:r>
            <w:r>
              <w:rPr/>
              <w:t>51</w:t>
            </w:r>
            <w:r>
              <w:rPr/>
              <w:t xml:space="preserve"> процесса происходят параллельно.</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Есть необходимость получить информацию о ходе исполнения ИЛ?</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В некоторых случаях арбитражный суд должен получить информацию о ходе исполнения, например когда обязал лицо устранить какие-либо нарушения. Судья решает есть ли необходимость получить информацию о ходе исполнения ИЛ?</w:t>
            </w:r>
          </w:p>
          <w:p>
            <w:pPr>
              <w:pStyle w:val="Style15"/>
              <w:bidi w:val="0"/>
              <w:spacing w:before="0" w:after="283"/>
              <w:jc w:val="left"/>
              <w:rPr/>
            </w:pPr>
            <w:r>
              <w:rPr/>
              <w:t>Если «Да», то переход к шагу 4</w:t>
            </w:r>
            <w:r>
              <w:rPr/>
              <w:t>8</w:t>
            </w:r>
          </w:p>
          <w:p>
            <w:pPr>
              <w:pStyle w:val="Style15"/>
              <w:bidi w:val="0"/>
              <w:spacing w:before="0" w:after="283"/>
              <w:jc w:val="left"/>
              <w:rPr/>
            </w:pPr>
            <w:r>
              <w:rPr/>
              <w:t>Если «Нет», то переход к шагу 4</w:t>
            </w:r>
            <w:r>
              <w:rPr/>
              <w:t>9</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Переход к типовому процессу "Проверить статус исполнения ИЛ"</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"Проверить статус исполнения ИЛ", результатом которого будет проверенный судьей статус исполнения ИЛ.</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Закрывающий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Закрывающий шлюз для шага 4</w:t>
            </w:r>
            <w:r>
              <w:rPr/>
              <w:t>7</w:t>
            </w:r>
            <w:r>
              <w:rPr/>
              <w:t xml:space="preserve"> процесса.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Завершение процесса обращения СА к исполнению. СА обращен к исполнению</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Переход к типовому процессу "Направить документ"</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"Направить документ", результатом которого будет направленный ИЛ в Налоговый орган/ФССП/иной орган, уполномоченный исполнить решение суда.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Завершение процесса. </w:t>
            </w:r>
            <w:r>
              <w:rPr/>
              <w:t xml:space="preserve">Исполнительный документ направлен судом </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Для исполнения необходимо направить СА</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 xml:space="preserve">Определить  получателей </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Судья определяет получателей решения и фиксирует в системе.</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СА, по вопросу которого направляется решение, вступил в законную силу?</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По результатам проверки </w:t>
            </w:r>
            <w:r>
              <w:rPr/>
              <w:t>срока</w:t>
            </w:r>
            <w:r>
              <w:rPr/>
              <w:t xml:space="preserve"> судья смотрит СА, по вопросу которого направляется решение, вступил в законную силу?</w:t>
            </w:r>
          </w:p>
          <w:p>
            <w:pPr>
              <w:pStyle w:val="Style15"/>
              <w:bidi w:val="0"/>
              <w:spacing w:before="0" w:after="283"/>
              <w:jc w:val="left"/>
              <w:rPr/>
            </w:pPr>
            <w:r>
              <w:rPr/>
              <w:t>Если «Да», то переход к шагу 5</w:t>
            </w:r>
            <w:r>
              <w:rPr/>
              <w:t>7</w:t>
            </w:r>
          </w:p>
          <w:p>
            <w:pPr>
              <w:pStyle w:val="Style15"/>
              <w:bidi w:val="0"/>
              <w:spacing w:before="0" w:after="283"/>
              <w:jc w:val="left"/>
              <w:rPr/>
            </w:pPr>
            <w:r>
              <w:rPr/>
              <w:t>Если «Нет», то переход к шагу 5</w:t>
            </w:r>
            <w:r>
              <w:rPr/>
              <w:t>5</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СА подлежит немедленному исполнению?</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В основном в случаях, когда исполнительным документом является СА, то обычно он подлежит немедленному исполнению, но судом может быть установлен срок вступления в законную силу в отдельных случаях. Судья решает подлежит ли СА немедленному исполнению?</w:t>
            </w:r>
          </w:p>
          <w:p>
            <w:pPr>
              <w:pStyle w:val="Style15"/>
              <w:bidi w:val="0"/>
              <w:spacing w:before="0" w:after="283"/>
              <w:jc w:val="left"/>
              <w:rPr/>
            </w:pPr>
            <w:r>
              <w:rPr/>
              <w:t>Если «Да», то переход к шагу 6</w:t>
            </w:r>
            <w:r>
              <w:rPr/>
              <w:t>3</w:t>
            </w:r>
          </w:p>
          <w:p>
            <w:pPr>
              <w:pStyle w:val="Style15"/>
              <w:bidi w:val="0"/>
              <w:spacing w:before="0" w:after="283"/>
              <w:jc w:val="left"/>
              <w:rPr/>
            </w:pPr>
            <w:r>
              <w:rPr/>
              <w:t>Если «Нет», то переход к шагу 5</w:t>
            </w:r>
            <w:r>
              <w:rPr/>
              <w:t>7</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Ожидать вступление СА в законную силу</w:t>
              <w:br/>
              <w:t>Промежуточное событие (Таймер)</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Судья ожидает вступление СА в законную силу.</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Закрывающий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Закрывающий шлюз для объединения потоков шага 5</w:t>
            </w:r>
            <w:r>
              <w:rPr/>
              <w:t>4</w:t>
            </w:r>
            <w:r>
              <w:rPr/>
              <w:t xml:space="preserve"> и 5</w:t>
            </w:r>
            <w:r>
              <w:rPr/>
              <w:t>5</w:t>
            </w:r>
            <w:r>
              <w:rPr/>
              <w:t xml:space="preserve"> процесса.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Система</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Проверить добровольность исполнения</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Система проверяет добровольную оплату, уведомляет судью о её наличии или отсутствия, и записывает данные о дате проверки </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Был исполнен добровольно?</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Судья смотрит были ли представлены должником документы, подтверждающие добровольное исполнение судебного акта.</w:t>
            </w:r>
          </w:p>
          <w:p>
            <w:pPr>
              <w:pStyle w:val="Style15"/>
              <w:bidi w:val="0"/>
              <w:spacing w:before="0" w:after="283"/>
              <w:jc w:val="left"/>
              <w:rPr/>
            </w:pPr>
            <w:r>
              <w:rPr/>
              <w:t xml:space="preserve">Если «Да», то переход к шагу </w:t>
            </w:r>
            <w:r>
              <w:rPr/>
              <w:t>60</w:t>
            </w:r>
          </w:p>
          <w:p>
            <w:pPr>
              <w:pStyle w:val="Style15"/>
              <w:bidi w:val="0"/>
              <w:spacing w:before="0" w:after="283"/>
              <w:jc w:val="left"/>
              <w:rPr/>
            </w:pPr>
            <w:r>
              <w:rPr/>
              <w:t>Если «Нет», то переход к шагу 6</w:t>
            </w:r>
            <w:r>
              <w:rPr/>
              <w:t>3</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Определение об отказе</w:t>
            </w:r>
          </w:p>
        </w:tc>
        <w:tc>
          <w:tcPr>
            <w:tcW w:w="3182" w:type="dxa"/>
            <w:tcBorders/>
            <w:vAlign w:val="center"/>
          </w:tcPr>
          <w:p>
            <w:pPr>
              <w:pStyle w:val="Style15"/>
              <w:bidi w:val="0"/>
              <w:spacing w:before="0" w:after="283"/>
              <w:jc w:val="left"/>
              <w:rPr/>
            </w:pPr>
            <w:r>
              <w:rPr/>
              <w:t>Переход к типовому процессу "Принять СА"</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"Принять СА", результатом которого будет вынесение судьей определения об отказе в выдаче копии СА для исполнения в связи с добровольным исполнением решения суда.</w:t>
            </w:r>
          </w:p>
          <w:p>
            <w:pPr>
              <w:pStyle w:val="Style15"/>
              <w:bidi w:val="0"/>
              <w:spacing w:before="0" w:after="283"/>
              <w:jc w:val="left"/>
              <w:rPr/>
            </w:pPr>
            <w:r>
              <w:rPr/>
              <w:t>Автогенерация определения на основе шаблона с автозаполнением данных по делу.</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Переход к типовому процессу "Направить документ"</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"Направить документ", результатом которого будет направление канцелярией суда определение об отказе направление СА на исполнение в связи с тем, что ответчик исполнил СА добровольно.</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Завершение процесса обращения СА к исполнению. Отказано в выдаче исполнительного документа в связи с добровольным исполнением </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Закрывающий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Закрывающий шлюз, объединяющий шаги 5</w:t>
            </w:r>
            <w:r>
              <w:rPr/>
              <w:t>5</w:t>
            </w:r>
            <w:r>
              <w:rPr/>
              <w:t xml:space="preserve"> и 5</w:t>
            </w:r>
            <w:r>
              <w:rPr/>
              <w:t>9</w:t>
            </w:r>
            <w:r>
              <w:rPr/>
              <w:t xml:space="preserve"> процесса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Необходимо проверить наличие заявления?</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Судья смотрит необходимо ли проверить наличие заявления о выдаче СА для исполнения от стороны?</w:t>
            </w:r>
          </w:p>
          <w:p>
            <w:pPr>
              <w:pStyle w:val="Style15"/>
              <w:bidi w:val="0"/>
              <w:spacing w:before="0" w:after="283"/>
              <w:jc w:val="left"/>
              <w:rPr/>
            </w:pPr>
            <w:r>
              <w:rPr/>
              <w:t>Если «Да», то переход к шагу 6</w:t>
            </w:r>
            <w:r>
              <w:rPr/>
              <w:t>5</w:t>
            </w:r>
          </w:p>
          <w:p>
            <w:pPr>
              <w:pStyle w:val="Style15"/>
              <w:bidi w:val="0"/>
              <w:spacing w:before="0" w:after="283"/>
              <w:jc w:val="left"/>
              <w:rPr/>
            </w:pPr>
            <w:r>
              <w:rPr/>
              <w:t>Если «Нет», то переход к шагу 6</w:t>
            </w:r>
            <w:r>
              <w:rPr/>
              <w:t>8</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Система</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Проверить заявление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Система</w:t>
            </w:r>
            <w:r>
              <w:rPr/>
              <w:t xml:space="preserve"> проверяет наличие в деле заявления о выдаче копии СА для исполнения от взыскателя.</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Проверить выводы системы</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«Проверить выводы системы», в рамках которого судья валидирует проверку системы на наличие в деле заявления о выдаче копии СА для исполнения от взыскателя.</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Есть заявление от стороны на выдачу решения?</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Судья смотрит есть ли заявление от стороны на выдачу решения.</w:t>
            </w:r>
          </w:p>
          <w:p>
            <w:pPr>
              <w:pStyle w:val="Style15"/>
              <w:bidi w:val="0"/>
              <w:spacing w:before="0" w:after="283"/>
              <w:jc w:val="left"/>
              <w:rPr/>
            </w:pPr>
            <w:r>
              <w:rPr/>
              <w:t>Если «Да», то переход к шагу 68</w:t>
            </w:r>
          </w:p>
          <w:p>
            <w:pPr>
              <w:pStyle w:val="Style15"/>
              <w:bidi w:val="0"/>
              <w:spacing w:before="0" w:after="283"/>
              <w:jc w:val="left"/>
              <w:rPr/>
            </w:pPr>
            <w:r>
              <w:rPr/>
              <w:t>Если «Нет», то переход к шагу 6</w:t>
            </w:r>
            <w:r>
              <w:rPr/>
              <w:t>7</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Завершение процесса обращения СА к исполнению. Нет заявления от стороны о выдаче СА для исполнения и СА не подлежит направлению на исполнение судом самостоятельно.</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Закрывающий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Закрывающий шлюз для шага 6</w:t>
            </w:r>
            <w:r>
              <w:rPr/>
              <w:t>5</w:t>
            </w:r>
            <w:r>
              <w:rPr/>
              <w:t xml:space="preserve"> процесса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Параллельный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Параллельный шлюз для координации процессов. Шаги </w:t>
            </w:r>
            <w:r>
              <w:rPr/>
              <w:t>70</w:t>
            </w:r>
            <w:r>
              <w:rPr/>
              <w:t xml:space="preserve"> и 7</w:t>
            </w:r>
            <w:r>
              <w:rPr/>
              <w:t>1</w:t>
            </w:r>
            <w:r>
              <w:rPr/>
              <w:t xml:space="preserve"> процесса происходят параллельно.</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Заверенная копия СА</w:t>
            </w:r>
          </w:p>
        </w:tc>
        <w:tc>
          <w:tcPr>
            <w:tcW w:w="3182" w:type="dxa"/>
            <w:tcBorders/>
            <w:vAlign w:val="center"/>
          </w:tcPr>
          <w:p>
            <w:pPr>
              <w:pStyle w:val="Style15"/>
              <w:bidi w:val="0"/>
              <w:spacing w:before="0" w:after="283"/>
              <w:jc w:val="left"/>
              <w:rPr/>
            </w:pPr>
            <w:r>
              <w:rPr/>
              <w:t>Переход к типовому процессу "Изготовить копии"</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Переход к типовому процессу "Изготовить копии", результатом которой будут изготовленные и заверенные надлежащим образом копии СА. </w:t>
            </w:r>
            <w:r>
              <w:rPr/>
              <w:t>Электронные копии заверяются соответствующим штрих-кодом.</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Сопроводительное письмо</w:t>
            </w:r>
          </w:p>
        </w:tc>
        <w:tc>
          <w:tcPr>
            <w:tcW w:w="3182" w:type="dxa"/>
            <w:tcBorders/>
            <w:vAlign w:val="center"/>
          </w:tcPr>
          <w:p>
            <w:pPr>
              <w:pStyle w:val="Style15"/>
              <w:bidi w:val="0"/>
              <w:spacing w:before="0" w:after="283"/>
              <w:jc w:val="left"/>
              <w:rPr/>
            </w:pPr>
            <w:r>
              <w:rPr/>
              <w:t>Переход к типовому процессу "Сформировать и подписать документ"</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"Сформировать и подписать документ", результатом которого будет сформированное и подписанное сопроводительное письмо о направлении СА на исполнение.</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Закрывающий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Закрывающий шлюз для шага 6</w:t>
            </w:r>
            <w:r>
              <w:rPr/>
              <w:t>9</w:t>
            </w:r>
            <w:r>
              <w:rPr/>
              <w:t xml:space="preserve"> процесса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Решением суда на орган/должностное лицо возложена обязанность по совершению (воздержанию от совершения) определенных действий?</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Решением суда на орган/должностное лицо возложена обязанность по совершению (воздержанию от совершения) определенных действий?</w:t>
            </w:r>
          </w:p>
          <w:p>
            <w:pPr>
              <w:pStyle w:val="Style15"/>
              <w:bidi w:val="0"/>
              <w:spacing w:before="0" w:after="283"/>
              <w:jc w:val="left"/>
              <w:rPr/>
            </w:pPr>
            <w:r>
              <w:rPr/>
              <w:t>Если «Да», то переход к шагу 7</w:t>
            </w:r>
            <w:r>
              <w:rPr/>
              <w:t>4</w:t>
            </w:r>
          </w:p>
          <w:p>
            <w:pPr>
              <w:pStyle w:val="Style15"/>
              <w:bidi w:val="0"/>
              <w:spacing w:before="0" w:after="283"/>
              <w:jc w:val="left"/>
              <w:rPr/>
            </w:pPr>
            <w:r>
              <w:rPr/>
              <w:t>Если «Нет», то переход к шагу 7</w:t>
            </w:r>
            <w:r>
              <w:rPr/>
              <w:t>6</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Необходимо выдать ИЛ?</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В случаях, когда решением суда на орган/должностное лицо возложена обязанность по совершению (воздержанию от совершения) определенных действий, то судом может быть выдан исполнительный лист, на что прямо будет указано в СА. Судья смотрит есть ли необходимость выдать ИЛ?</w:t>
            </w:r>
          </w:p>
          <w:p>
            <w:pPr>
              <w:pStyle w:val="Style15"/>
              <w:bidi w:val="0"/>
              <w:spacing w:before="0" w:after="283"/>
              <w:jc w:val="left"/>
              <w:rPr/>
            </w:pPr>
            <w:r>
              <w:rPr/>
              <w:t>Если «Да», то переход к шагу 7</w:t>
            </w:r>
            <w:r>
              <w:rPr/>
              <w:t>5</w:t>
            </w:r>
          </w:p>
          <w:p>
            <w:pPr>
              <w:pStyle w:val="Style15"/>
              <w:bidi w:val="0"/>
              <w:spacing w:before="0" w:after="283"/>
              <w:jc w:val="left"/>
              <w:rPr/>
            </w:pPr>
            <w:r>
              <w:rPr/>
              <w:t>Если «Нет», то переход к шагу 7</w:t>
            </w:r>
            <w:r>
              <w:rPr/>
              <w:t>6</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Исполнительный лист</w:t>
            </w:r>
          </w:p>
        </w:tc>
        <w:tc>
          <w:tcPr>
            <w:tcW w:w="3182" w:type="dxa"/>
            <w:tcBorders/>
            <w:vAlign w:val="center"/>
          </w:tcPr>
          <w:p>
            <w:pPr>
              <w:pStyle w:val="Style15"/>
              <w:bidi w:val="0"/>
              <w:spacing w:before="0" w:after="283"/>
              <w:jc w:val="left"/>
              <w:rPr/>
            </w:pPr>
            <w:r>
              <w:rPr/>
              <w:t>Оформить исполнительный лист</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"Оформить исполнительный лист", результатом которого будет оформленный надлежащим образом в соответствии с требованиями закона исполнительный лист, готовый к направлению на исполнение.</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Закрывающий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Закрывающий шлюз для шага 7</w:t>
            </w:r>
            <w:r>
              <w:rPr/>
              <w:t>3</w:t>
            </w:r>
            <w:r>
              <w:rPr/>
              <w:t xml:space="preserve"> процесса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Параллельный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Параллельный шлюз для координации процесса. Шаги </w:t>
            </w:r>
            <w:r>
              <w:rPr/>
              <w:t>88</w:t>
            </w:r>
            <w:r>
              <w:rPr/>
              <w:t xml:space="preserve"> и </w:t>
            </w:r>
            <w:r>
              <w:rPr/>
              <w:t>78</w:t>
            </w:r>
            <w:r>
              <w:rPr/>
              <w:t xml:space="preserve"> процесса происходят параллельно.</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Необходимо направить заявителю?</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Канцелярия суда смотрит, куда согласно сопроводительному письму необходимо направить документ-заявителю или лицу, обязанному судом исполнить СА. Кому следует направить СА заявитель указал в своем заявлении о выдаче СА для исполнения.</w:t>
            </w:r>
          </w:p>
          <w:p>
            <w:pPr>
              <w:pStyle w:val="Style15"/>
              <w:bidi w:val="0"/>
              <w:spacing w:before="0" w:after="283"/>
              <w:jc w:val="left"/>
              <w:rPr/>
            </w:pPr>
            <w:r>
              <w:rPr/>
              <w:t>Канцелярия решает необходимо направить заявителю?</w:t>
            </w:r>
          </w:p>
          <w:p>
            <w:pPr>
              <w:pStyle w:val="Style15"/>
              <w:bidi w:val="0"/>
              <w:spacing w:before="0" w:after="283"/>
              <w:jc w:val="left"/>
              <w:rPr/>
            </w:pPr>
            <w:r>
              <w:rPr/>
              <w:t xml:space="preserve">Если «Да», то переход к шагу </w:t>
            </w:r>
            <w:r>
              <w:rPr/>
              <w:t>81</w:t>
            </w:r>
          </w:p>
          <w:p>
            <w:pPr>
              <w:pStyle w:val="Style15"/>
              <w:bidi w:val="0"/>
              <w:spacing w:before="0" w:after="283"/>
              <w:jc w:val="left"/>
              <w:rPr/>
            </w:pPr>
            <w:r>
              <w:rPr/>
              <w:t xml:space="preserve">Если «Нет», то переход к шагу </w:t>
            </w:r>
            <w:r>
              <w:rPr/>
              <w:t>79</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Переход к типовому процессу "Направить документ"</w:t>
            </w:r>
          </w:p>
        </w:tc>
        <w:tc>
          <w:tcPr>
            <w:tcW w:w="1553" w:type="dxa"/>
            <w:tcBorders/>
            <w:vAlign w:val="center"/>
          </w:tcPr>
          <w:p>
            <w:pPr>
              <w:pStyle w:val="Style15"/>
              <w:bidi w:val="0"/>
              <w:spacing w:before="0" w:after="283"/>
              <w:jc w:val="left"/>
              <w:rPr/>
            </w:pPr>
            <w:r>
              <w:rPr/>
              <w:t xml:space="preserve">Срок варьируется в зависимости от категории спора </w:t>
            </w:r>
          </w:p>
        </w:tc>
        <w:tc>
          <w:tcPr>
            <w:tcW w:w="10274" w:type="dxa"/>
            <w:tcBorders/>
            <w:vAlign w:val="center"/>
          </w:tcPr>
          <w:p>
            <w:pPr>
              <w:pStyle w:val="Style15"/>
              <w:bidi w:val="0"/>
              <w:spacing w:before="0" w:after="283"/>
              <w:jc w:val="left"/>
              <w:rPr/>
            </w:pPr>
            <w:r>
              <w:rPr/>
              <w:t>Переход к типовому процессу "Направить документ", результатом которого будет направление СА лицу, обязанному судом исполнить 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Завершение ветки процесса. Исполнительный документ направлен лицу обязанному судом исполнить СА </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Направить документ</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Переход к типовому процессу "Направить документ", результатом которого будет направление СА </w:t>
            </w:r>
            <w:r>
              <w:rPr/>
              <w:t>заявителю</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Канцелярия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 xml:space="preserve">Завершение ветки процесса. Исполнительный документ направлен взыскателю </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Лицо, ходатайствовавшее о выдаче ИЛ/СП/Решение</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Получен исполнительный лист/судебный приказ/Решение/Определение</w:t>
              <w:br/>
              <w:t>Стартовое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Лицо, ходатайствовавшее о выдаче ИЛ/СП/Решение получает документ, о выдаче которого ходатайствовал или определение об отказе в его выдаче.</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Лицо, ходатайствовавшее о выдаче ИЛ/СП/Решение</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Ознакомиться</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Лицо, ходатайствовавшее о выдаче ИЛ/СП/Решение знакомится с поступившим документом.</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Система</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Данные об ознакомлении</w:t>
            </w:r>
          </w:p>
        </w:tc>
        <w:tc>
          <w:tcPr>
            <w:tcW w:w="3182" w:type="dxa"/>
            <w:tcBorders/>
            <w:vAlign w:val="center"/>
          </w:tcPr>
          <w:p>
            <w:pPr>
              <w:pStyle w:val="Style15"/>
              <w:bidi w:val="0"/>
              <w:spacing w:before="0" w:after="283"/>
              <w:jc w:val="left"/>
              <w:rPr/>
            </w:pPr>
            <w:r>
              <w:rPr/>
              <w:t xml:space="preserve">Отправить данные об ознакомлении </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ind w:hanging="0" w:left="0" w:right="0"/>
              <w:jc w:val="left"/>
              <w:rPr>
                <w:color w:val="000000"/>
              </w:rPr>
            </w:pPr>
            <w:r>
              <w:rPr>
                <w:color w:val="000000"/>
              </w:rPr>
              <w:t xml:space="preserve">Система отправляет данные о дате и времени ознакомления с СА для фиксации данных в системе арбитражного суда. </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Лицо, ходатайствовавшее о выдаче ИЛ/СП/Решение</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Завершение процесса Обратить СА к исполнению на пуле «Лицо, ходатайствовавшее о выдаче ИЛ/СП/Решение».</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Решение было направлено в орган?</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Судья смотрит решение было направлено в орган/ должностному лицу?</w:t>
            </w:r>
          </w:p>
          <w:p>
            <w:pPr>
              <w:pStyle w:val="Style15"/>
              <w:bidi w:val="0"/>
              <w:spacing w:before="0" w:after="283"/>
              <w:jc w:val="left"/>
              <w:rPr/>
            </w:pPr>
            <w:r>
              <w:rPr/>
              <w:t xml:space="preserve">Если «Да», то переход к шагу </w:t>
            </w:r>
            <w:r>
              <w:rPr/>
              <w:t>90</w:t>
            </w:r>
          </w:p>
          <w:p>
            <w:pPr>
              <w:pStyle w:val="Style15"/>
              <w:bidi w:val="0"/>
              <w:spacing w:before="0" w:after="283"/>
              <w:jc w:val="left"/>
              <w:rPr/>
            </w:pPr>
            <w:r>
              <w:rPr/>
              <w:t xml:space="preserve">Если «Нет», то переход к шагу </w:t>
            </w:r>
            <w:r>
              <w:rPr/>
              <w:t>89</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Завершение процесса обращения СА к исполнению. СА обращен к исполнению.</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Ожидать исполнения</w:t>
              <w:br/>
              <w:t>Промежуточное событие (Таймер)</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Если суд обязал орган/должностное лицо сообщить суду об исполнении СА, то судья будет ожидать исполнения СА должностным лицом, органом и ждать подтверждение исполнения.</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Подтверждение исполнения поступило?</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Судья проверяет поступило ли подтверждение исполнения от органа/должностного лица?</w:t>
            </w:r>
          </w:p>
          <w:p>
            <w:pPr>
              <w:pStyle w:val="Style15"/>
              <w:bidi w:val="0"/>
              <w:spacing w:before="0" w:after="283"/>
              <w:jc w:val="left"/>
              <w:rPr/>
            </w:pPr>
            <w:r>
              <w:rPr/>
              <w:t xml:space="preserve">Если «Да», то переход к шагу </w:t>
            </w:r>
            <w:r>
              <w:rPr/>
              <w:t>92</w:t>
            </w:r>
          </w:p>
          <w:p>
            <w:pPr>
              <w:pStyle w:val="Style15"/>
              <w:bidi w:val="0"/>
              <w:spacing w:before="0" w:after="283"/>
              <w:jc w:val="left"/>
              <w:rPr/>
            </w:pPr>
            <w:r>
              <w:rPr/>
              <w:t>Если «Нет», то переход к шагу 9</w:t>
            </w:r>
            <w:r>
              <w:rPr/>
              <w:t>3</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Завершение процесса обращения СА к исполнению. СА обращен к исполнению.</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Необходимо наложить судебный штраф?</w:t>
              <w:br/>
              <w:t>Эксклюзивный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Если орган/должностное лицо был обязан предоставить подтверждение исполнения и не предоставил его, то судья может наложить судебный штраф. Судья решает-необходимо ли наложить судебный штраф за несообщение об исполнении?</w:t>
            </w:r>
          </w:p>
          <w:p>
            <w:pPr>
              <w:pStyle w:val="Style15"/>
              <w:bidi w:val="0"/>
              <w:spacing w:before="0" w:after="283"/>
              <w:jc w:val="left"/>
              <w:rPr/>
            </w:pPr>
            <w:r>
              <w:rPr/>
              <w:t>Если «Да», то переход к шагу 9</w:t>
            </w:r>
            <w:r>
              <w:rPr/>
              <w:t>4</w:t>
            </w:r>
          </w:p>
          <w:p>
            <w:pPr>
              <w:pStyle w:val="Style15"/>
              <w:bidi w:val="0"/>
              <w:spacing w:before="0" w:after="283"/>
              <w:jc w:val="left"/>
              <w:rPr/>
            </w:pPr>
            <w:r>
              <w:rPr/>
              <w:t>Если «Нет», то переход к шагу 9</w:t>
            </w:r>
            <w:r>
              <w:rPr/>
              <w:t>5</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Наложить судебный штраф</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Переход к типовому процессу "Наложить судебный штраф", результатом которого будет вынесение судом определения о наложении судебного штрафа и контроль его исполнения.</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Закрывающий шлюз</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Закрывающий шлюз для шага 9</w:t>
            </w:r>
            <w:r>
              <w:rPr/>
              <w:t>3</w:t>
            </w:r>
            <w:r>
              <w:rPr/>
              <w:t xml:space="preserve"> процесса.</w:t>
            </w:r>
          </w:p>
        </w:tc>
      </w:tr>
      <w:tr>
        <w:trPr/>
        <w:tc>
          <w:tcPr>
            <w:tcW w:w="1184" w:type="dxa"/>
            <w:tcBorders/>
            <w:vAlign w:val="center"/>
          </w:tcPr>
          <w:p>
            <w:pPr>
              <w:pStyle w:val="Style15"/>
              <w:numPr>
                <w:ilvl w:val="0"/>
                <w:numId w:val="2"/>
              </w:numPr>
              <w:bidi w:val="0"/>
              <w:spacing w:before="0" w:after="283"/>
              <w:jc w:val="left"/>
              <w:rPr/>
            </w:pPr>
            <w:r>
              <w:rPr/>
            </w:r>
          </w:p>
        </w:tc>
        <w:tc>
          <w:tcPr>
            <w:tcW w:w="1624" w:type="dxa"/>
            <w:tcBorders/>
            <w:vAlign w:val="center"/>
          </w:tcPr>
          <w:p>
            <w:pPr>
              <w:pStyle w:val="Style15"/>
              <w:bidi w:val="0"/>
              <w:spacing w:before="0" w:after="283"/>
              <w:jc w:val="left"/>
              <w:rPr/>
            </w:pPr>
            <w:r>
              <w:rPr/>
              <w:t>Судья</w:t>
            </w:r>
          </w:p>
        </w:tc>
        <w:tc>
          <w:tcPr>
            <w:tcW w:w="2039" w:type="dxa"/>
            <w:tcBorders/>
            <w:vAlign w:val="center"/>
          </w:tcPr>
          <w:p>
            <w:pPr>
              <w:pStyle w:val="Style15"/>
              <w:bidi w:val="0"/>
              <w:spacing w:before="0" w:after="283"/>
              <w:jc w:val="left"/>
              <w:rPr/>
            </w:pPr>
            <w:r>
              <w:rPr/>
              <w:t>-</w:t>
            </w:r>
          </w:p>
        </w:tc>
        <w:tc>
          <w:tcPr>
            <w:tcW w:w="2153" w:type="dxa"/>
            <w:tcBorders/>
            <w:vAlign w:val="center"/>
          </w:tcPr>
          <w:p>
            <w:pPr>
              <w:pStyle w:val="Style15"/>
              <w:bidi w:val="0"/>
              <w:spacing w:before="0" w:after="283"/>
              <w:jc w:val="left"/>
              <w:rPr/>
            </w:pPr>
            <w:r>
              <w:rPr/>
              <w:t>-</w:t>
            </w:r>
          </w:p>
        </w:tc>
        <w:tc>
          <w:tcPr>
            <w:tcW w:w="3182" w:type="dxa"/>
            <w:tcBorders/>
            <w:vAlign w:val="center"/>
          </w:tcPr>
          <w:p>
            <w:pPr>
              <w:pStyle w:val="Style15"/>
              <w:bidi w:val="0"/>
              <w:spacing w:before="0" w:after="283"/>
              <w:jc w:val="left"/>
              <w:rPr/>
            </w:pPr>
            <w:r>
              <w:rPr/>
              <w:t>Завершающее событие</w:t>
            </w:r>
          </w:p>
        </w:tc>
        <w:tc>
          <w:tcPr>
            <w:tcW w:w="1553" w:type="dxa"/>
            <w:tcBorders/>
            <w:vAlign w:val="center"/>
          </w:tcPr>
          <w:p>
            <w:pPr>
              <w:pStyle w:val="Style15"/>
              <w:bidi w:val="0"/>
              <w:spacing w:before="0" w:after="283"/>
              <w:jc w:val="left"/>
              <w:rPr/>
            </w:pPr>
            <w:r>
              <w:rPr/>
              <w:t>-</w:t>
            </w:r>
          </w:p>
        </w:tc>
        <w:tc>
          <w:tcPr>
            <w:tcW w:w="10274" w:type="dxa"/>
            <w:tcBorders/>
            <w:vAlign w:val="center"/>
          </w:tcPr>
          <w:p>
            <w:pPr>
              <w:pStyle w:val="Style15"/>
              <w:bidi w:val="0"/>
              <w:spacing w:before="0" w:after="283"/>
              <w:jc w:val="left"/>
              <w:rPr/>
            </w:pPr>
            <w:r>
              <w:rPr/>
              <w:t>Завершение процесса обращения СА к исполнению. СА обращен к исполнению. Подтверждение исполнения не получено.</w:t>
            </w:r>
          </w:p>
        </w:tc>
      </w:tr>
    </w:tbl>
    <w:p>
      <w:pPr>
        <w:pStyle w:val="Heading2"/>
        <w:bidi w:val="0"/>
        <w:spacing w:before="49" w:after="49"/>
        <w:jc w:val="left"/>
        <w:rPr>
          <w:rFonts w:eastAsia="Times New Roman"/>
        </w:rPr>
      </w:pPr>
      <w:r>
        <w:rPr/>
      </w:r>
    </w:p>
    <w:p>
      <w:pPr>
        <w:pStyle w:val="Heading2"/>
        <w:bidi w:val="0"/>
        <w:spacing w:before="49" w:after="49"/>
        <w:jc w:val="left"/>
        <w:rPr>
          <w:rFonts w:eastAsia="Times New Roman"/>
        </w:rPr>
      </w:pPr>
      <w:r>
        <w:rPr>
          <w:rFonts w:eastAsia="Times New Roman"/>
        </w:rPr>
        <w:t>3. Нормативные ограничения</w:t>
      </w:r>
    </w:p>
    <w:tbl>
      <w:tblPr>
        <w:tblW w:w="14138" w:type="dxa"/>
        <w:jc w:val="left"/>
        <w:tblInd w:w="0" w:type="dxa"/>
        <w:tblLayout w:type="fixed"/>
        <w:tblCellMar>
          <w:top w:w="28" w:type="dxa"/>
          <w:left w:w="28" w:type="dxa"/>
          <w:bottom w:w="28" w:type="dxa"/>
          <w:right w:w="28" w:type="dxa"/>
        </w:tblCellMar>
      </w:tblPr>
      <w:tblGrid>
        <w:gridCol w:w="1141"/>
        <w:gridCol w:w="1141"/>
        <w:gridCol w:w="2542"/>
        <w:gridCol w:w="5122"/>
        <w:gridCol w:w="4192"/>
      </w:tblGrid>
      <w:tr>
        <w:trPr>
          <w:tblHeader w:val="true"/>
        </w:trPr>
        <w:tc>
          <w:tcPr>
            <w:tcW w:w="1141" w:type="dxa"/>
            <w:tcBorders/>
            <w:vAlign w:val="center"/>
          </w:tcPr>
          <w:p>
            <w:pPr>
              <w:pStyle w:val="NormalWeb"/>
              <w:bidi w:val="0"/>
              <w:spacing w:before="0" w:after="49"/>
              <w:jc w:val="left"/>
              <w:rPr/>
            </w:pPr>
            <w:r>
              <w:rPr>
                <w:rStyle w:val="Strong"/>
              </w:rPr>
              <w:t>№</w:t>
            </w:r>
          </w:p>
          <w:p>
            <w:pPr>
              <w:pStyle w:val="NormalWeb"/>
              <w:bidi w:val="0"/>
              <w:spacing w:before="49" w:after="0"/>
              <w:jc w:val="left"/>
              <w:rPr/>
            </w:pPr>
            <w:r>
              <w:rPr>
                <w:rStyle w:val="Strong"/>
              </w:rPr>
              <w:t>п/п</w:t>
            </w:r>
          </w:p>
        </w:tc>
        <w:tc>
          <w:tcPr>
            <w:tcW w:w="1141" w:type="dxa"/>
            <w:tcBorders/>
            <w:vAlign w:val="center"/>
          </w:tcPr>
          <w:p>
            <w:pPr>
              <w:pStyle w:val="NormalWeb"/>
              <w:bidi w:val="0"/>
              <w:spacing w:before="0" w:after="0"/>
              <w:jc w:val="left"/>
              <w:rPr/>
            </w:pPr>
            <w:r>
              <w:rPr>
                <w:rStyle w:val="Strong"/>
              </w:rPr>
              <w:t xml:space="preserve">№ </w:t>
            </w:r>
            <w:r>
              <w:rPr>
                <w:rStyle w:val="Strong"/>
              </w:rPr>
              <w:t>действия</w:t>
            </w:r>
          </w:p>
        </w:tc>
        <w:tc>
          <w:tcPr>
            <w:tcW w:w="2542" w:type="dxa"/>
            <w:tcBorders/>
            <w:vAlign w:val="center"/>
          </w:tcPr>
          <w:p>
            <w:pPr>
              <w:pStyle w:val="NormalWeb"/>
              <w:bidi w:val="0"/>
              <w:spacing w:before="0" w:after="0"/>
              <w:jc w:val="left"/>
              <w:rPr/>
            </w:pPr>
            <w:r>
              <w:rPr>
                <w:rStyle w:val="Strong"/>
              </w:rPr>
              <w:t>Элемент (сервис/элемент автоматизации)</w:t>
            </w:r>
          </w:p>
        </w:tc>
        <w:tc>
          <w:tcPr>
            <w:tcW w:w="5122" w:type="dxa"/>
            <w:tcBorders/>
            <w:vAlign w:val="center"/>
          </w:tcPr>
          <w:p>
            <w:pPr>
              <w:pStyle w:val="NormalWeb"/>
              <w:bidi w:val="0"/>
              <w:spacing w:before="0" w:after="0"/>
              <w:jc w:val="left"/>
              <w:rPr/>
            </w:pPr>
            <w:r>
              <w:rPr>
                <w:rStyle w:val="Strong"/>
              </w:rPr>
              <w:t>Описание</w:t>
            </w:r>
          </w:p>
        </w:tc>
        <w:tc>
          <w:tcPr>
            <w:tcW w:w="4192" w:type="dxa"/>
            <w:tcBorders/>
            <w:vAlign w:val="center"/>
          </w:tcPr>
          <w:p>
            <w:pPr>
              <w:pStyle w:val="NormalWeb"/>
              <w:bidi w:val="0"/>
              <w:spacing w:before="0" w:after="0"/>
              <w:jc w:val="left"/>
              <w:rPr/>
            </w:pPr>
            <w:r>
              <w:rPr>
                <w:rStyle w:val="Strong"/>
              </w:rPr>
              <w:t>Выявленные нормативные ограничения*</w:t>
            </w:r>
          </w:p>
        </w:tc>
      </w:tr>
      <w:tr>
        <w:trPr/>
        <w:tc>
          <w:tcPr>
            <w:tcW w:w="1141" w:type="dxa"/>
            <w:tcBorders/>
            <w:vAlign w:val="center"/>
          </w:tcPr>
          <w:p>
            <w:pPr>
              <w:pStyle w:val="Style15"/>
              <w:bidi w:val="0"/>
              <w:spacing w:before="0" w:after="283"/>
              <w:jc w:val="left"/>
              <w:rPr/>
            </w:pPr>
            <w:r>
              <w:rPr/>
              <w:t>1</w:t>
            </w:r>
          </w:p>
        </w:tc>
        <w:tc>
          <w:tcPr>
            <w:tcW w:w="1141" w:type="dxa"/>
            <w:tcBorders/>
            <w:vAlign w:val="center"/>
          </w:tcPr>
          <w:p>
            <w:pPr>
              <w:pStyle w:val="Style15"/>
              <w:bidi w:val="0"/>
              <w:spacing w:before="0" w:after="283"/>
              <w:jc w:val="left"/>
              <w:rPr/>
            </w:pPr>
            <w:r>
              <w:rPr/>
              <w:t>26</w:t>
            </w:r>
          </w:p>
        </w:tc>
        <w:tc>
          <w:tcPr>
            <w:tcW w:w="2542" w:type="dxa"/>
            <w:tcBorders/>
            <w:vAlign w:val="center"/>
          </w:tcPr>
          <w:p>
            <w:pPr>
              <w:pStyle w:val="Normal"/>
              <w:bidi w:val="0"/>
              <w:jc w:val="left"/>
              <w:rPr>
                <w:rFonts w:eastAsia="Times New Roman"/>
                <w:sz w:val="20"/>
                <w:szCs w:val="20"/>
              </w:rPr>
            </w:pPr>
            <w:r>
              <w:rPr>
                <w:rFonts w:eastAsia="Times New Roman"/>
              </w:rPr>
              <w:t>Электронная гербовая печать</w:t>
            </w:r>
          </w:p>
        </w:tc>
        <w:tc>
          <w:tcPr>
            <w:tcW w:w="5122" w:type="dxa"/>
            <w:tcBorders/>
            <w:vAlign w:val="center"/>
          </w:tcPr>
          <w:p>
            <w:pPr>
              <w:pStyle w:val="NormalWeb"/>
              <w:bidi w:val="0"/>
              <w:spacing w:before="0" w:after="49"/>
              <w:jc w:val="left"/>
              <w:rPr/>
            </w:pPr>
            <w:r>
              <w:rPr/>
              <w:t>Тип: Штрих-код</w:t>
            </w:r>
          </w:p>
          <w:p>
            <w:pPr>
              <w:pStyle w:val="NormalWeb"/>
              <w:bidi w:val="0"/>
              <w:spacing w:before="49" w:after="49"/>
              <w:jc w:val="left"/>
              <w:rPr/>
            </w:pPr>
            <w:r>
              <w:rPr/>
              <w:t xml:space="preserve">Назначение: Заверение СА и иных документов суда вместо проставления печатей вручную.   </w:t>
            </w:r>
          </w:p>
          <w:p>
            <w:pPr>
              <w:pStyle w:val="NormalWeb"/>
              <w:bidi w:val="0"/>
              <w:spacing w:before="49" w:after="49"/>
              <w:jc w:val="left"/>
              <w:rPr/>
            </w:pPr>
            <w:r>
              <w:rPr/>
              <w:t>Роль: Подтверждение подлинности судебных документов</w:t>
            </w:r>
          </w:p>
          <w:p>
            <w:pPr>
              <w:pStyle w:val="NormalWeb"/>
              <w:bidi w:val="0"/>
              <w:spacing w:before="49" w:after="49"/>
              <w:jc w:val="left"/>
              <w:rPr/>
            </w:pPr>
            <w:r>
              <w:rPr/>
              <w:t>Входящие данные: Документ, который необходимо проставить электронную гербовая печать</w:t>
            </w:r>
          </w:p>
          <w:p>
            <w:pPr>
              <w:pStyle w:val="NormalWeb"/>
              <w:bidi w:val="0"/>
              <w:spacing w:before="49" w:after="0"/>
              <w:jc w:val="left"/>
              <w:rPr/>
            </w:pPr>
            <w:r>
              <w:rPr/>
              <w:t>Исходящие данные: Документ с электронной гербовой печатью (штрих-код, содержащий данные о судье и суде, который подтверждает подлинность заверенного документа и его юридическую силу)</w:t>
            </w:r>
          </w:p>
        </w:tc>
        <w:tc>
          <w:tcPr>
            <w:tcW w:w="4192" w:type="dxa"/>
            <w:tcBorders/>
            <w:vAlign w:val="center"/>
          </w:tcPr>
          <w:p>
            <w:r>
              <w:t>ТБП2.Сформировать отчет</w:t>
            </w:r>
          </w:p>
        </w:tc>
      </w:tr>
    </w:tbl>
    <w:p>
      <w:pPr>
        <w:pStyle w:val="Heading2"/>
        <w:bidi w:val="0"/>
        <w:jc w:val="left"/>
        <w:rPr/>
      </w:pPr>
      <w:r>
        <w:rPr/>
        <w:t>4. Пользователи и роли</w:t>
      </w:r>
    </w:p>
    <w:tbl>
      <w:tblPr>
        <w:tblW w:w="17396" w:type="dxa"/>
        <w:jc w:val="left"/>
        <w:tblInd w:w="0" w:type="dxa"/>
        <w:tblLayout w:type="fixed"/>
        <w:tblCellMar>
          <w:top w:w="28" w:type="dxa"/>
          <w:left w:w="28" w:type="dxa"/>
          <w:bottom w:w="28" w:type="dxa"/>
          <w:right w:w="28" w:type="dxa"/>
        </w:tblCellMar>
      </w:tblPr>
      <w:tblGrid>
        <w:gridCol w:w="1885"/>
        <w:gridCol w:w="15511"/>
      </w:tblGrid>
      <w:tr>
        <w:trPr>
          <w:tblHeader w:val="true"/>
        </w:trPr>
        <w:tc>
          <w:tcPr>
            <w:tcW w:w="1885" w:type="dxa"/>
            <w:tcBorders/>
            <w:vAlign w:val="center"/>
          </w:tcPr>
          <w:p>
            <w:pPr>
              <w:pStyle w:val="Style15"/>
              <w:bidi w:val="0"/>
              <w:spacing w:before="0" w:after="283"/>
              <w:jc w:val="left"/>
              <w:rPr/>
            </w:pPr>
            <w:r>
              <w:rPr>
                <w:rStyle w:val="Strong"/>
              </w:rPr>
              <w:t>Роль</w:t>
            </w:r>
          </w:p>
        </w:tc>
        <w:tc>
          <w:tcPr>
            <w:tcW w:w="15511" w:type="dxa"/>
            <w:tcBorders/>
            <w:vAlign w:val="center"/>
          </w:tcPr>
          <w:p>
            <w:pPr>
              <w:pStyle w:val="Style15"/>
              <w:bidi w:val="0"/>
              <w:spacing w:before="0" w:after="283"/>
              <w:jc w:val="left"/>
              <w:rPr/>
            </w:pPr>
            <w:r>
              <w:rPr>
                <w:rStyle w:val="Strong"/>
              </w:rPr>
              <w:t>Функции</w:t>
            </w:r>
          </w:p>
        </w:tc>
      </w:tr>
      <w:tr>
        <w:trPr/>
        <w:tc>
          <w:tcPr>
            <w:tcW w:w="1885" w:type="dxa"/>
            <w:tcBorders/>
            <w:vAlign w:val="center"/>
          </w:tcPr>
          <w:p>
            <w:pPr>
              <w:pStyle w:val="Style15"/>
              <w:bidi w:val="0"/>
              <w:spacing w:before="0" w:after="283"/>
              <w:jc w:val="left"/>
              <w:rPr/>
            </w:pPr>
            <w:r>
              <w:rPr/>
              <w:t>Судья</w:t>
            </w:r>
          </w:p>
        </w:tc>
        <w:tc>
          <w:tcPr>
            <w:tcW w:w="15511" w:type="dxa"/>
            <w:tcBorders/>
            <w:vAlign w:val="center"/>
          </w:tcPr>
          <w:p>
            <w:pPr>
              <w:pStyle w:val="Style15"/>
              <w:bidi w:val="0"/>
              <w:spacing w:before="0" w:after="283"/>
              <w:jc w:val="left"/>
              <w:rPr/>
            </w:pPr>
            <w:r>
              <w:rPr/>
              <w:t>Принятие решений о выдаче исполнительных документов, проверка сроков и оснований, контроль добровольности исполнения, наложение штрафов</w:t>
            </w:r>
          </w:p>
        </w:tc>
      </w:tr>
      <w:tr>
        <w:trPr/>
        <w:tc>
          <w:tcPr>
            <w:tcW w:w="1885" w:type="dxa"/>
            <w:tcBorders/>
            <w:vAlign w:val="center"/>
          </w:tcPr>
          <w:p>
            <w:pPr>
              <w:pStyle w:val="Style15"/>
              <w:bidi w:val="0"/>
              <w:spacing w:before="0" w:after="283"/>
              <w:jc w:val="left"/>
              <w:rPr/>
            </w:pPr>
            <w:r>
              <w:rPr/>
              <w:t>Канцелярия</w:t>
            </w:r>
          </w:p>
        </w:tc>
        <w:tc>
          <w:tcPr>
            <w:tcW w:w="15511" w:type="dxa"/>
            <w:tcBorders/>
            <w:vAlign w:val="center"/>
          </w:tcPr>
          <w:p>
            <w:pPr>
              <w:pStyle w:val="Style15"/>
              <w:bidi w:val="0"/>
              <w:spacing w:before="0" w:after="283"/>
              <w:jc w:val="left"/>
              <w:rPr/>
            </w:pPr>
            <w:r>
              <w:rPr/>
              <w:t>Направление документов заявителям и в органы исполнения, техническое сопровождение процесса</w:t>
            </w:r>
          </w:p>
        </w:tc>
      </w:tr>
      <w:tr>
        <w:trPr/>
        <w:tc>
          <w:tcPr>
            <w:tcW w:w="1885" w:type="dxa"/>
            <w:tcBorders/>
            <w:vAlign w:val="center"/>
          </w:tcPr>
          <w:p>
            <w:pPr>
              <w:pStyle w:val="Style15"/>
              <w:bidi w:val="0"/>
              <w:spacing w:before="0" w:after="283"/>
              <w:jc w:val="left"/>
              <w:rPr/>
            </w:pPr>
            <w:r>
              <w:rPr/>
              <w:t>Помощник судьи</w:t>
            </w:r>
          </w:p>
        </w:tc>
        <w:tc>
          <w:tcPr>
            <w:tcW w:w="15511" w:type="dxa"/>
            <w:tcBorders/>
            <w:vAlign w:val="center"/>
          </w:tcPr>
          <w:p>
            <w:pPr>
              <w:pStyle w:val="Style15"/>
              <w:bidi w:val="0"/>
              <w:spacing w:before="0" w:after="283"/>
              <w:jc w:val="left"/>
              <w:rPr/>
            </w:pPr>
            <w:r>
              <w:rPr/>
              <w:t>Оформление исполнительных листов, определение количества документов, работа с материалами дела</w:t>
            </w:r>
          </w:p>
        </w:tc>
      </w:tr>
      <w:tr>
        <w:trPr/>
        <w:tc>
          <w:tcPr>
            <w:tcW w:w="1885" w:type="dxa"/>
            <w:tcBorders/>
            <w:vAlign w:val="center"/>
          </w:tcPr>
          <w:p>
            <w:pPr>
              <w:pStyle w:val="Style15"/>
              <w:bidi w:val="0"/>
              <w:spacing w:before="0" w:after="283"/>
              <w:jc w:val="left"/>
              <w:rPr/>
            </w:pPr>
            <w:r>
              <w:rPr/>
              <w:t>Система</w:t>
            </w:r>
          </w:p>
        </w:tc>
        <w:tc>
          <w:tcPr>
            <w:tcW w:w="15511" w:type="dxa"/>
            <w:tcBorders/>
            <w:vAlign w:val="center"/>
          </w:tcPr>
          <w:p>
            <w:pPr>
              <w:pStyle w:val="Style15"/>
              <w:bidi w:val="0"/>
              <w:spacing w:before="0" w:after="283"/>
              <w:jc w:val="left"/>
              <w:rPr/>
            </w:pPr>
            <w:r>
              <w:rPr/>
              <w:t>Формирование таблицы данных (отчета), проверка срока, автогенерация СА по шаблону, отправка данных об ознакомлении, проверка добровольности исполнения, проверка наличия заявления в деле</w:t>
            </w:r>
          </w:p>
        </w:tc>
      </w:tr>
    </w:tbl>
    <w:p>
      <w:pPr>
        <w:pStyle w:val="Heading2"/>
        <w:bidi w:val="0"/>
        <w:jc w:val="left"/>
        <w:rPr/>
      </w:pPr>
      <w:r>
        <w:rPr/>
        <w:t>5. Реестр справочников</w:t>
      </w:r>
    </w:p>
    <w:tbl>
      <w:tblPr>
        <w:tblW w:w="21738" w:type="dxa"/>
        <w:jc w:val="left"/>
        <w:tblInd w:w="0" w:type="dxa"/>
        <w:tblLayout w:type="fixed"/>
        <w:tblCellMar>
          <w:top w:w="28" w:type="dxa"/>
          <w:left w:w="28" w:type="dxa"/>
          <w:bottom w:w="28" w:type="dxa"/>
          <w:right w:w="28" w:type="dxa"/>
        </w:tblCellMar>
      </w:tblPr>
      <w:tblGrid>
        <w:gridCol w:w="16309"/>
        <w:gridCol w:w="2758"/>
        <w:gridCol w:w="2671"/>
      </w:tblGrid>
      <w:tr>
        <w:trPr>
          <w:tblHeader w:val="true"/>
        </w:trPr>
        <w:tc>
          <w:tcPr>
            <w:tcW w:w="16309" w:type="dxa"/>
            <w:tcBorders/>
            <w:vAlign w:val="center"/>
          </w:tcPr>
          <w:p>
            <w:pPr>
              <w:pStyle w:val="Style15"/>
              <w:bidi w:val="0"/>
              <w:spacing w:before="0" w:after="283"/>
              <w:jc w:val="left"/>
              <w:rPr/>
            </w:pPr>
            <w:r>
              <w:rPr>
                <w:rStyle w:val="Strong"/>
              </w:rPr>
              <w:t>Название справочника</w:t>
            </w:r>
          </w:p>
        </w:tc>
        <w:tc>
          <w:tcPr>
            <w:tcW w:w="2758" w:type="dxa"/>
            <w:tcBorders/>
            <w:vAlign w:val="center"/>
          </w:tcPr>
          <w:p>
            <w:pPr>
              <w:pStyle w:val="Style15"/>
              <w:bidi w:val="0"/>
              <w:spacing w:before="0" w:after="283"/>
              <w:jc w:val="left"/>
              <w:rPr/>
            </w:pPr>
            <w:r>
              <w:rPr>
                <w:rStyle w:val="Strong"/>
              </w:rPr>
              <w:t>Структура справочника</w:t>
            </w:r>
          </w:p>
        </w:tc>
        <w:tc>
          <w:tcPr>
            <w:tcW w:w="2671" w:type="dxa"/>
            <w:tcBorders/>
            <w:vAlign w:val="center"/>
          </w:tcPr>
          <w:p>
            <w:pPr>
              <w:pStyle w:val="Style15"/>
              <w:bidi w:val="0"/>
              <w:spacing w:before="0" w:after="283"/>
              <w:jc w:val="left"/>
              <w:rPr/>
            </w:pPr>
            <w:r>
              <w:rPr>
                <w:rStyle w:val="Strong"/>
              </w:rPr>
              <w:t>Значения справочника</w:t>
            </w:r>
          </w:p>
        </w:tc>
      </w:tr>
      <w:tr>
        <w:trPr>
          <w:tblHeader w:val="true"/>
        </w:trPr>
        <w:tc>
          <w:tcPr>
            <w:tcW w:w="16309" w:type="dxa"/>
            <w:tcBorders/>
            <w:vAlign w:val="center"/>
          </w:tcPr>
          <w:p>
            <w:pPr>
              <w:pStyle w:val="Style15"/>
              <w:bidi w:val="0"/>
              <w:spacing w:before="0" w:after="283"/>
              <w:jc w:val="left"/>
              <w:rPr/>
            </w:pPr>
            <w:r>
              <w:rPr/>
              <w:t>Справочники (классификаторы) ПК САД указаны в Приложении к Заключению об обследовании текущего состояния субъектов автоматизации (3-я очередь).</w:t>
            </w:r>
          </w:p>
        </w:tc>
        <w:tc>
          <w:tcPr>
            <w:tcW w:w="2758" w:type="dxa"/>
            <w:tcBorders/>
            <w:vAlign w:val="center"/>
          </w:tcPr>
          <w:p>
            <w:pPr>
              <w:pStyle w:val="Style15"/>
              <w:bidi w:val="0"/>
              <w:spacing w:before="0" w:after="283"/>
              <w:jc w:val="left"/>
              <w:rPr/>
            </w:pPr>
            <w:r>
              <w:rPr/>
              <w:t>—</w:t>
            </w:r>
          </w:p>
        </w:tc>
        <w:tc>
          <w:tcPr>
            <w:tcW w:w="2671" w:type="dxa"/>
            <w:tcBorders/>
            <w:vAlign w:val="center"/>
          </w:tcPr>
          <w:p>
            <w:pPr>
              <w:pStyle w:val="Style15"/>
              <w:bidi w:val="0"/>
              <w:spacing w:before="0" w:after="283"/>
              <w:jc w:val="left"/>
              <w:rPr/>
            </w:pPr>
            <w:r>
              <w:rPr/>
              <w:t>—</w:t>
            </w:r>
          </w:p>
        </w:tc>
      </w:tr>
    </w:tbl>
    <w:p>
      <w:pPr>
        <w:pStyle w:val="Heading2"/>
        <w:bidi w:val="0"/>
        <w:jc w:val="left"/>
        <w:rPr/>
      </w:pPr>
      <w:r>
        <w:rPr/>
        <w:t>6. Процессуальные документы и их шаблоны</w:t>
      </w:r>
    </w:p>
    <w:p>
      <w:pPr>
        <w:pStyle w:val="BodyText"/>
        <w:bidi w:val="0"/>
        <w:jc w:val="left"/>
        <w:rPr/>
      </w:pPr>
      <w:r>
        <w:rPr>
          <w:rStyle w:val="Strong"/>
        </w:rPr>
        <w:t>6.1. Документы рассмотрения</w:t>
      </w:r>
    </w:p>
    <w:tbl>
      <w:tblPr>
        <w:tblW w:w="14138" w:type="dxa"/>
        <w:jc w:val="left"/>
        <w:tblInd w:w="0" w:type="dxa"/>
        <w:tblLayout w:type="fixed"/>
        <w:tblCellMar>
          <w:top w:w="28" w:type="dxa"/>
          <w:left w:w="28" w:type="dxa"/>
          <w:bottom w:w="28" w:type="dxa"/>
          <w:right w:w="28" w:type="dxa"/>
        </w:tblCellMar>
      </w:tblPr>
      <w:tblGrid>
        <w:gridCol w:w="781"/>
        <w:gridCol w:w="1738"/>
        <w:gridCol w:w="3502"/>
        <w:gridCol w:w="2866"/>
        <w:gridCol w:w="5251"/>
      </w:tblGrid>
      <w:tr>
        <w:trPr>
          <w:tblHeader w:val="true"/>
        </w:trPr>
        <w:tc>
          <w:tcPr>
            <w:tcW w:w="781" w:type="dxa"/>
            <w:tcBorders/>
            <w:vAlign w:val="center"/>
          </w:tcPr>
          <w:p>
            <w:pPr>
              <w:pStyle w:val="Style15"/>
              <w:bidi w:val="0"/>
              <w:spacing w:before="0" w:after="283"/>
              <w:jc w:val="left"/>
              <w:rPr/>
            </w:pPr>
            <w:r>
              <w:rPr>
                <w:rStyle w:val="Strong"/>
              </w:rPr>
              <w:t xml:space="preserve">№ </w:t>
            </w:r>
            <w:r>
              <w:rPr>
                <w:rStyle w:val="Strong"/>
              </w:rPr>
              <w:t>п/п</w:t>
            </w:r>
          </w:p>
        </w:tc>
        <w:tc>
          <w:tcPr>
            <w:tcW w:w="1738" w:type="dxa"/>
            <w:tcBorders/>
            <w:vAlign w:val="center"/>
          </w:tcPr>
          <w:p>
            <w:pPr>
              <w:pStyle w:val="Style15"/>
              <w:bidi w:val="0"/>
              <w:spacing w:before="0" w:after="283"/>
              <w:jc w:val="left"/>
              <w:rPr/>
            </w:pPr>
            <w:r>
              <w:rPr>
                <w:rStyle w:val="Strong"/>
              </w:rPr>
              <w:t>Вид документа</w:t>
            </w:r>
          </w:p>
        </w:tc>
        <w:tc>
          <w:tcPr>
            <w:tcW w:w="3502" w:type="dxa"/>
            <w:tcBorders/>
            <w:vAlign w:val="center"/>
          </w:tcPr>
          <w:p>
            <w:pPr>
              <w:pStyle w:val="Style15"/>
              <w:bidi w:val="0"/>
              <w:spacing w:before="0" w:after="283"/>
              <w:jc w:val="left"/>
              <w:rPr/>
            </w:pPr>
            <w:r>
              <w:rPr>
                <w:rStyle w:val="Strong"/>
              </w:rPr>
              <w:t>Наименование документа</w:t>
            </w:r>
          </w:p>
        </w:tc>
        <w:tc>
          <w:tcPr>
            <w:tcW w:w="2866" w:type="dxa"/>
            <w:tcBorders/>
            <w:vAlign w:val="center"/>
          </w:tcPr>
          <w:p>
            <w:pPr>
              <w:pStyle w:val="Style15"/>
              <w:bidi w:val="0"/>
              <w:spacing w:before="0" w:after="283"/>
              <w:jc w:val="left"/>
              <w:rPr/>
            </w:pPr>
            <w:r>
              <w:rPr>
                <w:rStyle w:val="Strong"/>
              </w:rPr>
              <w:t>Форма (печатная/устная)</w:t>
            </w:r>
          </w:p>
        </w:tc>
        <w:tc>
          <w:tcPr>
            <w:tcW w:w="5251" w:type="dxa"/>
            <w:tcBorders/>
            <w:vAlign w:val="center"/>
          </w:tcPr>
          <w:p>
            <w:pPr>
              <w:pStyle w:val="Style15"/>
              <w:bidi w:val="0"/>
              <w:spacing w:before="0" w:after="283"/>
              <w:jc w:val="left"/>
              <w:rPr/>
            </w:pPr>
            <w:r>
              <w:rPr>
                <w:rStyle w:val="Strong"/>
              </w:rPr>
              <w:t>Образец / ссылка на облако, где располагается</w:t>
            </w:r>
          </w:p>
        </w:tc>
      </w:tr>
      <w:tr>
        <w:trPr/>
        <w:tc>
          <w:tcPr>
            <w:tcW w:w="781" w:type="dxa"/>
            <w:tcBorders/>
            <w:vAlign w:val="center"/>
          </w:tcPr>
          <w:p>
            <w:pPr>
              <w:pStyle w:val="Style15"/>
              <w:bidi w:val="0"/>
              <w:spacing w:before="0" w:after="283"/>
              <w:jc w:val="left"/>
              <w:rPr/>
            </w:pPr>
            <w:r>
              <w:rPr/>
              <w:t>1</w:t>
            </w:r>
          </w:p>
        </w:tc>
        <w:tc>
          <w:tcPr>
            <w:tcW w:w="1738" w:type="dxa"/>
            <w:tcBorders/>
            <w:vAlign w:val="center"/>
          </w:tcPr>
          <w:p>
            <w:pPr>
              <w:pStyle w:val="Style15"/>
              <w:bidi w:val="0"/>
              <w:spacing w:before="0" w:after="283"/>
              <w:jc w:val="left"/>
              <w:rPr/>
            </w:pPr>
            <w:r>
              <w:rPr/>
              <w:t>Исходящий</w:t>
            </w:r>
          </w:p>
        </w:tc>
        <w:tc>
          <w:tcPr>
            <w:tcW w:w="3502" w:type="dxa"/>
            <w:tcBorders/>
            <w:vAlign w:val="center"/>
          </w:tcPr>
          <w:p>
            <w:pPr>
              <w:pStyle w:val="Style15"/>
              <w:bidi w:val="0"/>
              <w:spacing w:before="0" w:after="283"/>
              <w:jc w:val="left"/>
              <w:rPr/>
            </w:pPr>
            <w:r>
              <w:rPr/>
              <w:t>Исполнительный лист</w:t>
            </w:r>
          </w:p>
        </w:tc>
        <w:tc>
          <w:tcPr>
            <w:tcW w:w="2866" w:type="dxa"/>
            <w:tcBorders/>
            <w:vAlign w:val="center"/>
          </w:tcPr>
          <w:p>
            <w:pPr>
              <w:pStyle w:val="Style15"/>
              <w:bidi w:val="0"/>
              <w:spacing w:before="0" w:after="283"/>
              <w:jc w:val="left"/>
              <w:rPr/>
            </w:pPr>
            <w:r>
              <w:rPr/>
              <w:t>печатная</w:t>
            </w:r>
          </w:p>
        </w:tc>
        <w:tc>
          <w:tcPr>
            <w:tcW w:w="5251" w:type="dxa"/>
            <w:tcBorders/>
            <w:vAlign w:val="center"/>
          </w:tcPr>
          <w:p>
            <w:pPr>
              <w:pStyle w:val="Style15"/>
              <w:bidi w:val="0"/>
              <w:spacing w:before="0" w:after="283"/>
              <w:jc w:val="left"/>
              <w:rPr/>
            </w:pPr>
            <w:r>
              <w:rPr/>
              <w:t>—</w:t>
            </w:r>
          </w:p>
        </w:tc>
      </w:tr>
      <w:tr>
        <w:trPr/>
        <w:tc>
          <w:tcPr>
            <w:tcW w:w="781" w:type="dxa"/>
            <w:tcBorders/>
            <w:vAlign w:val="center"/>
          </w:tcPr>
          <w:p>
            <w:pPr>
              <w:pStyle w:val="Style15"/>
              <w:bidi w:val="0"/>
              <w:spacing w:before="0" w:after="283"/>
              <w:jc w:val="left"/>
              <w:rPr/>
            </w:pPr>
            <w:r>
              <w:rPr/>
              <w:t>2</w:t>
            </w:r>
          </w:p>
        </w:tc>
        <w:tc>
          <w:tcPr>
            <w:tcW w:w="1738" w:type="dxa"/>
            <w:tcBorders/>
            <w:vAlign w:val="center"/>
          </w:tcPr>
          <w:p>
            <w:pPr>
              <w:pStyle w:val="Style15"/>
              <w:bidi w:val="0"/>
              <w:spacing w:before="0" w:after="283"/>
              <w:jc w:val="left"/>
              <w:rPr/>
            </w:pPr>
            <w:r>
              <w:rPr/>
              <w:t>Исходящий</w:t>
            </w:r>
          </w:p>
        </w:tc>
        <w:tc>
          <w:tcPr>
            <w:tcW w:w="3502" w:type="dxa"/>
            <w:tcBorders/>
            <w:vAlign w:val="center"/>
          </w:tcPr>
          <w:p>
            <w:pPr>
              <w:pStyle w:val="Style15"/>
              <w:bidi w:val="0"/>
              <w:spacing w:before="0" w:after="283"/>
              <w:jc w:val="left"/>
              <w:rPr/>
            </w:pPr>
            <w:r>
              <w:rPr/>
              <w:t>Сопроводительное письмо</w:t>
            </w:r>
          </w:p>
        </w:tc>
        <w:tc>
          <w:tcPr>
            <w:tcW w:w="2866" w:type="dxa"/>
            <w:tcBorders/>
            <w:vAlign w:val="center"/>
          </w:tcPr>
          <w:p>
            <w:pPr>
              <w:pStyle w:val="Style15"/>
              <w:bidi w:val="0"/>
              <w:spacing w:before="0" w:after="283"/>
              <w:jc w:val="left"/>
              <w:rPr/>
            </w:pPr>
            <w:r>
              <w:rPr/>
              <w:t>печатная</w:t>
            </w:r>
          </w:p>
        </w:tc>
        <w:tc>
          <w:tcPr>
            <w:tcW w:w="5251" w:type="dxa"/>
            <w:tcBorders/>
            <w:vAlign w:val="center"/>
          </w:tcPr>
          <w:p>
            <w:pPr>
              <w:pStyle w:val="Style15"/>
              <w:bidi w:val="0"/>
              <w:spacing w:before="0" w:after="283"/>
              <w:jc w:val="left"/>
              <w:rPr/>
            </w:pPr>
            <w:r>
              <w:rPr/>
              <w:t>—</w:t>
            </w:r>
          </w:p>
        </w:tc>
      </w:tr>
      <w:tr>
        <w:trPr/>
        <w:tc>
          <w:tcPr>
            <w:tcW w:w="781" w:type="dxa"/>
            <w:tcBorders/>
            <w:vAlign w:val="center"/>
          </w:tcPr>
          <w:p>
            <w:pPr>
              <w:pStyle w:val="Style15"/>
              <w:bidi w:val="0"/>
              <w:spacing w:before="0" w:after="283"/>
              <w:jc w:val="left"/>
              <w:rPr/>
            </w:pPr>
            <w:r>
              <w:rPr/>
              <w:t>3</w:t>
            </w:r>
          </w:p>
        </w:tc>
        <w:tc>
          <w:tcPr>
            <w:tcW w:w="1738" w:type="dxa"/>
            <w:tcBorders/>
            <w:vAlign w:val="center"/>
          </w:tcPr>
          <w:p>
            <w:pPr>
              <w:pStyle w:val="Style15"/>
              <w:bidi w:val="0"/>
              <w:spacing w:before="0" w:after="283"/>
              <w:jc w:val="left"/>
              <w:rPr/>
            </w:pPr>
            <w:r>
              <w:rPr/>
              <w:t>Исходящий</w:t>
            </w:r>
          </w:p>
        </w:tc>
        <w:tc>
          <w:tcPr>
            <w:tcW w:w="3502" w:type="dxa"/>
            <w:tcBorders/>
            <w:vAlign w:val="center"/>
          </w:tcPr>
          <w:p>
            <w:pPr>
              <w:pStyle w:val="Style15"/>
              <w:bidi w:val="0"/>
              <w:spacing w:before="0" w:after="283"/>
              <w:jc w:val="left"/>
              <w:rPr/>
            </w:pPr>
            <w:r>
              <w:rPr/>
              <w:t>Заверенная копия судебного акта</w:t>
            </w:r>
          </w:p>
        </w:tc>
        <w:tc>
          <w:tcPr>
            <w:tcW w:w="2866" w:type="dxa"/>
            <w:tcBorders/>
            <w:vAlign w:val="center"/>
          </w:tcPr>
          <w:p>
            <w:pPr>
              <w:pStyle w:val="Style15"/>
              <w:bidi w:val="0"/>
              <w:spacing w:before="0" w:after="283"/>
              <w:jc w:val="left"/>
              <w:rPr/>
            </w:pPr>
            <w:r>
              <w:rPr/>
              <w:t>печатная</w:t>
            </w:r>
          </w:p>
        </w:tc>
        <w:tc>
          <w:tcPr>
            <w:tcW w:w="5251" w:type="dxa"/>
            <w:tcBorders/>
            <w:vAlign w:val="center"/>
          </w:tcPr>
          <w:p>
            <w:pPr>
              <w:pStyle w:val="Style15"/>
              <w:bidi w:val="0"/>
              <w:spacing w:before="0" w:after="283"/>
              <w:jc w:val="left"/>
              <w:rPr/>
            </w:pPr>
            <w:r>
              <w:rPr/>
              <w:t>—</w:t>
            </w:r>
          </w:p>
        </w:tc>
      </w:tr>
      <w:tr>
        <w:trPr/>
        <w:tc>
          <w:tcPr>
            <w:tcW w:w="781" w:type="dxa"/>
            <w:tcBorders/>
            <w:vAlign w:val="center"/>
          </w:tcPr>
          <w:p>
            <w:pPr>
              <w:pStyle w:val="Style15"/>
              <w:bidi w:val="0"/>
              <w:spacing w:before="0" w:after="283"/>
              <w:jc w:val="left"/>
              <w:rPr/>
            </w:pPr>
            <w:r>
              <w:rPr/>
              <w:t>4</w:t>
            </w:r>
          </w:p>
        </w:tc>
        <w:tc>
          <w:tcPr>
            <w:tcW w:w="1738" w:type="dxa"/>
            <w:tcBorders/>
            <w:vAlign w:val="center"/>
          </w:tcPr>
          <w:p>
            <w:pPr>
              <w:pStyle w:val="Style15"/>
              <w:bidi w:val="0"/>
              <w:spacing w:before="0" w:after="283"/>
              <w:jc w:val="left"/>
              <w:rPr/>
            </w:pPr>
            <w:r>
              <w:rPr/>
              <w:t>Исходящий</w:t>
            </w:r>
          </w:p>
        </w:tc>
        <w:tc>
          <w:tcPr>
            <w:tcW w:w="3502" w:type="dxa"/>
            <w:tcBorders/>
            <w:vAlign w:val="center"/>
          </w:tcPr>
          <w:p>
            <w:pPr>
              <w:pStyle w:val="Style15"/>
              <w:bidi w:val="0"/>
              <w:spacing w:before="0" w:after="283"/>
              <w:jc w:val="left"/>
              <w:rPr/>
            </w:pPr>
            <w:r>
              <w:rPr/>
              <w:t>Судебный приказ</w:t>
            </w:r>
          </w:p>
        </w:tc>
        <w:tc>
          <w:tcPr>
            <w:tcW w:w="2866" w:type="dxa"/>
            <w:tcBorders/>
            <w:vAlign w:val="center"/>
          </w:tcPr>
          <w:p>
            <w:pPr>
              <w:pStyle w:val="Style15"/>
              <w:bidi w:val="0"/>
              <w:spacing w:before="0" w:after="283"/>
              <w:jc w:val="left"/>
              <w:rPr/>
            </w:pPr>
            <w:r>
              <w:rPr/>
              <w:t>печатная</w:t>
            </w:r>
          </w:p>
        </w:tc>
        <w:tc>
          <w:tcPr>
            <w:tcW w:w="5251" w:type="dxa"/>
            <w:tcBorders/>
            <w:vAlign w:val="center"/>
          </w:tcPr>
          <w:p>
            <w:pPr>
              <w:pStyle w:val="Style15"/>
              <w:bidi w:val="0"/>
              <w:spacing w:before="0" w:after="283"/>
              <w:jc w:val="left"/>
              <w:rPr/>
            </w:pPr>
            <w:r>
              <w:rPr/>
            </w:r>
          </w:p>
        </w:tc>
      </w:tr>
    </w:tbl>
    <w:p>
      <w:pPr>
        <w:pStyle w:val="BodyText"/>
        <w:bidi w:val="0"/>
        <w:jc w:val="left"/>
        <w:rPr/>
      </w:pPr>
      <w:r>
        <w:rPr>
          <w:rStyle w:val="Strong"/>
        </w:rPr>
        <w:t>6.2. Судебные акты</w:t>
      </w:r>
    </w:p>
    <w:tbl>
      <w:tblPr>
        <w:tblW w:w="20484" w:type="dxa"/>
        <w:jc w:val="left"/>
        <w:tblInd w:w="0" w:type="dxa"/>
        <w:tblLayout w:type="fixed"/>
        <w:tblCellMar>
          <w:top w:w="28" w:type="dxa"/>
          <w:left w:w="28" w:type="dxa"/>
          <w:bottom w:w="28" w:type="dxa"/>
          <w:right w:w="28" w:type="dxa"/>
        </w:tblCellMar>
      </w:tblPr>
      <w:tblGrid>
        <w:gridCol w:w="781"/>
        <w:gridCol w:w="1738"/>
        <w:gridCol w:w="5362"/>
        <w:gridCol w:w="4258"/>
        <w:gridCol w:w="2338"/>
        <w:gridCol w:w="6007"/>
      </w:tblGrid>
      <w:tr>
        <w:trPr>
          <w:tblHeader w:val="true"/>
        </w:trPr>
        <w:tc>
          <w:tcPr>
            <w:tcW w:w="781" w:type="dxa"/>
            <w:tcBorders/>
            <w:vAlign w:val="center"/>
          </w:tcPr>
          <w:p>
            <w:pPr>
              <w:pStyle w:val="Style15"/>
              <w:bidi w:val="0"/>
              <w:spacing w:before="0" w:after="283"/>
              <w:jc w:val="left"/>
              <w:rPr/>
            </w:pPr>
            <w:r>
              <w:rPr>
                <w:rStyle w:val="Strong"/>
              </w:rPr>
              <w:t xml:space="preserve">№ </w:t>
            </w:r>
            <w:r>
              <w:rPr>
                <w:rStyle w:val="Strong"/>
              </w:rPr>
              <w:t>п/п</w:t>
            </w:r>
          </w:p>
        </w:tc>
        <w:tc>
          <w:tcPr>
            <w:tcW w:w="1738" w:type="dxa"/>
            <w:tcBorders/>
            <w:vAlign w:val="center"/>
          </w:tcPr>
          <w:p>
            <w:pPr>
              <w:pStyle w:val="Style15"/>
              <w:bidi w:val="0"/>
              <w:spacing w:before="0" w:after="283"/>
              <w:jc w:val="left"/>
              <w:rPr/>
            </w:pPr>
            <w:r>
              <w:rPr>
                <w:rStyle w:val="Strong"/>
              </w:rPr>
              <w:t>Вид документа</w:t>
            </w:r>
          </w:p>
        </w:tc>
        <w:tc>
          <w:tcPr>
            <w:tcW w:w="5362" w:type="dxa"/>
            <w:tcBorders/>
            <w:vAlign w:val="center"/>
          </w:tcPr>
          <w:p>
            <w:pPr>
              <w:pStyle w:val="Style15"/>
              <w:bidi w:val="0"/>
              <w:spacing w:before="0" w:after="283"/>
              <w:jc w:val="left"/>
              <w:rPr/>
            </w:pPr>
            <w:r>
              <w:rPr>
                <w:rStyle w:val="Strong"/>
              </w:rPr>
              <w:t>Наименование документа</w:t>
            </w:r>
          </w:p>
        </w:tc>
        <w:tc>
          <w:tcPr>
            <w:tcW w:w="4258" w:type="dxa"/>
            <w:tcBorders/>
            <w:vAlign w:val="center"/>
          </w:tcPr>
          <w:p>
            <w:pPr>
              <w:pStyle w:val="Style15"/>
              <w:bidi w:val="0"/>
              <w:spacing w:before="0" w:after="283"/>
              <w:jc w:val="left"/>
              <w:rPr/>
            </w:pPr>
            <w:r>
              <w:rPr>
                <w:rStyle w:val="Strong"/>
              </w:rPr>
              <w:t>Форма (протокольное/отдельный СА)</w:t>
            </w:r>
          </w:p>
        </w:tc>
        <w:tc>
          <w:tcPr>
            <w:tcW w:w="2338" w:type="dxa"/>
            <w:tcBorders/>
            <w:vAlign w:val="center"/>
          </w:tcPr>
          <w:p>
            <w:pPr>
              <w:pStyle w:val="Style15"/>
              <w:bidi w:val="0"/>
              <w:spacing w:before="0" w:after="283"/>
              <w:jc w:val="left"/>
              <w:rPr/>
            </w:pPr>
            <w:r>
              <w:rPr>
                <w:rStyle w:val="Strong"/>
              </w:rPr>
              <w:t>Обжалуется (да/нет)</w:t>
            </w:r>
          </w:p>
        </w:tc>
        <w:tc>
          <w:tcPr>
            <w:tcW w:w="6007" w:type="dxa"/>
            <w:tcBorders/>
            <w:vAlign w:val="center"/>
          </w:tcPr>
          <w:p>
            <w:pPr>
              <w:pStyle w:val="Style15"/>
              <w:bidi w:val="0"/>
              <w:spacing w:before="0" w:after="283"/>
              <w:jc w:val="left"/>
              <w:rPr/>
            </w:pPr>
            <w:r>
              <w:rPr>
                <w:rStyle w:val="Strong"/>
              </w:rPr>
              <w:t>Образец / ссылка на облако</w:t>
            </w:r>
          </w:p>
        </w:tc>
      </w:tr>
      <w:tr>
        <w:trPr/>
        <w:tc>
          <w:tcPr>
            <w:tcW w:w="781" w:type="dxa"/>
            <w:tcBorders/>
            <w:vAlign w:val="center"/>
          </w:tcPr>
          <w:p>
            <w:pPr>
              <w:pStyle w:val="Style15"/>
              <w:bidi w:val="0"/>
              <w:spacing w:before="0" w:after="283"/>
              <w:jc w:val="left"/>
              <w:rPr/>
            </w:pPr>
            <w:r>
              <w:rPr/>
              <w:t>1</w:t>
            </w:r>
          </w:p>
        </w:tc>
        <w:tc>
          <w:tcPr>
            <w:tcW w:w="1738" w:type="dxa"/>
            <w:tcBorders/>
            <w:vAlign w:val="center"/>
          </w:tcPr>
          <w:p>
            <w:pPr>
              <w:pStyle w:val="Style15"/>
              <w:bidi w:val="0"/>
              <w:spacing w:before="0" w:after="283"/>
              <w:jc w:val="left"/>
              <w:rPr/>
            </w:pPr>
            <w:r>
              <w:rPr/>
              <w:t>Определение</w:t>
            </w:r>
          </w:p>
        </w:tc>
        <w:tc>
          <w:tcPr>
            <w:tcW w:w="5362" w:type="dxa"/>
            <w:tcBorders/>
            <w:vAlign w:val="center"/>
          </w:tcPr>
          <w:p>
            <w:pPr>
              <w:pStyle w:val="Style15"/>
              <w:bidi w:val="0"/>
              <w:spacing w:before="0" w:after="283"/>
              <w:jc w:val="left"/>
              <w:rPr/>
            </w:pPr>
            <w:r>
              <w:rPr/>
              <w:t>Определение об отказе в выдаче ИЛ</w:t>
            </w:r>
          </w:p>
        </w:tc>
        <w:tc>
          <w:tcPr>
            <w:tcW w:w="4258" w:type="dxa"/>
            <w:tcBorders/>
            <w:vAlign w:val="center"/>
          </w:tcPr>
          <w:p>
            <w:pPr>
              <w:pStyle w:val="Style15"/>
              <w:bidi w:val="0"/>
              <w:spacing w:before="0" w:after="283"/>
              <w:jc w:val="left"/>
              <w:rPr/>
            </w:pPr>
            <w:r>
              <w:rPr/>
              <w:t>Отдельный СА</w:t>
            </w:r>
          </w:p>
        </w:tc>
        <w:tc>
          <w:tcPr>
            <w:tcW w:w="2338" w:type="dxa"/>
            <w:tcBorders/>
            <w:vAlign w:val="center"/>
          </w:tcPr>
          <w:p>
            <w:pPr>
              <w:pStyle w:val="Style15"/>
              <w:bidi w:val="0"/>
              <w:spacing w:before="0" w:after="283"/>
              <w:jc w:val="left"/>
              <w:rPr/>
            </w:pPr>
            <w:r>
              <w:rPr/>
              <w:t>Да</w:t>
            </w:r>
          </w:p>
        </w:tc>
        <w:tc>
          <w:tcPr>
            <w:tcW w:w="6007" w:type="dxa"/>
            <w:tcBorders/>
            <w:vAlign w:val="center"/>
          </w:tcPr>
          <w:p>
            <w:pPr>
              <w:pStyle w:val="Style15"/>
              <w:bidi w:val="0"/>
              <w:spacing w:before="0" w:after="283"/>
              <w:jc w:val="left"/>
              <w:rPr/>
            </w:pPr>
            <w:r>
              <w:rPr/>
              <w:t>Шаблоны в приложении к Заключению об обследовании</w:t>
            </w:r>
          </w:p>
        </w:tc>
      </w:tr>
      <w:tr>
        <w:trPr/>
        <w:tc>
          <w:tcPr>
            <w:tcW w:w="781" w:type="dxa"/>
            <w:tcBorders/>
            <w:vAlign w:val="center"/>
          </w:tcPr>
          <w:p>
            <w:pPr>
              <w:pStyle w:val="Style15"/>
              <w:bidi w:val="0"/>
              <w:spacing w:before="0" w:after="283"/>
              <w:jc w:val="left"/>
              <w:rPr/>
            </w:pPr>
            <w:r>
              <w:rPr/>
              <w:t>2</w:t>
            </w:r>
          </w:p>
        </w:tc>
        <w:tc>
          <w:tcPr>
            <w:tcW w:w="1738" w:type="dxa"/>
            <w:tcBorders/>
            <w:vAlign w:val="center"/>
          </w:tcPr>
          <w:p>
            <w:pPr>
              <w:pStyle w:val="Style15"/>
              <w:bidi w:val="0"/>
              <w:spacing w:before="0" w:after="283"/>
              <w:jc w:val="left"/>
              <w:rPr/>
            </w:pPr>
            <w:r>
              <w:rPr/>
              <w:t>Определение</w:t>
            </w:r>
          </w:p>
        </w:tc>
        <w:tc>
          <w:tcPr>
            <w:tcW w:w="5362" w:type="dxa"/>
            <w:tcBorders/>
            <w:vAlign w:val="center"/>
          </w:tcPr>
          <w:p>
            <w:pPr>
              <w:pStyle w:val="Style15"/>
              <w:bidi w:val="0"/>
              <w:spacing w:before="0" w:after="283"/>
              <w:jc w:val="left"/>
              <w:rPr/>
            </w:pPr>
            <w:r>
              <w:rPr/>
              <w:t>Определение об отказе в выдаче судебного приказа</w:t>
            </w:r>
          </w:p>
        </w:tc>
        <w:tc>
          <w:tcPr>
            <w:tcW w:w="4258" w:type="dxa"/>
            <w:tcBorders/>
            <w:vAlign w:val="center"/>
          </w:tcPr>
          <w:p>
            <w:pPr>
              <w:pStyle w:val="Style15"/>
              <w:bidi w:val="0"/>
              <w:spacing w:before="0" w:after="283"/>
              <w:jc w:val="left"/>
              <w:rPr/>
            </w:pPr>
            <w:r>
              <w:rPr/>
              <w:t>Отдельный СА</w:t>
            </w:r>
          </w:p>
        </w:tc>
        <w:tc>
          <w:tcPr>
            <w:tcW w:w="2338" w:type="dxa"/>
            <w:tcBorders/>
            <w:vAlign w:val="center"/>
          </w:tcPr>
          <w:p>
            <w:pPr>
              <w:pStyle w:val="Style15"/>
              <w:bidi w:val="0"/>
              <w:spacing w:before="0" w:after="283"/>
              <w:jc w:val="left"/>
              <w:rPr/>
            </w:pPr>
            <w:r>
              <w:rPr/>
              <w:t>Да</w:t>
            </w:r>
          </w:p>
        </w:tc>
        <w:tc>
          <w:tcPr>
            <w:tcW w:w="6007" w:type="dxa"/>
            <w:tcBorders/>
            <w:vAlign w:val="center"/>
          </w:tcPr>
          <w:p>
            <w:pPr>
              <w:pStyle w:val="Style15"/>
              <w:bidi w:val="0"/>
              <w:spacing w:before="0" w:after="283"/>
              <w:jc w:val="left"/>
              <w:rPr/>
            </w:pPr>
            <w:r>
              <w:rPr/>
              <w:t>Шаблоны в приложении к Заключению об обследовании</w:t>
            </w:r>
          </w:p>
        </w:tc>
      </w:tr>
      <w:tr>
        <w:trPr/>
        <w:tc>
          <w:tcPr>
            <w:tcW w:w="781" w:type="dxa"/>
            <w:tcBorders/>
            <w:vAlign w:val="center"/>
          </w:tcPr>
          <w:p>
            <w:pPr>
              <w:pStyle w:val="Style15"/>
              <w:bidi w:val="0"/>
              <w:spacing w:before="0" w:after="283"/>
              <w:jc w:val="left"/>
              <w:rPr/>
            </w:pPr>
            <w:r>
              <w:rPr/>
              <w:t>3</w:t>
            </w:r>
          </w:p>
        </w:tc>
        <w:tc>
          <w:tcPr>
            <w:tcW w:w="1738" w:type="dxa"/>
            <w:tcBorders/>
            <w:vAlign w:val="center"/>
          </w:tcPr>
          <w:p>
            <w:pPr>
              <w:pStyle w:val="Style15"/>
              <w:bidi w:val="0"/>
              <w:spacing w:before="0" w:after="283"/>
              <w:jc w:val="left"/>
              <w:rPr/>
            </w:pPr>
            <w:r>
              <w:rPr/>
              <w:t>Определение</w:t>
            </w:r>
          </w:p>
        </w:tc>
        <w:tc>
          <w:tcPr>
            <w:tcW w:w="5362" w:type="dxa"/>
            <w:tcBorders/>
            <w:vAlign w:val="center"/>
          </w:tcPr>
          <w:p>
            <w:pPr>
              <w:pStyle w:val="Style15"/>
              <w:bidi w:val="0"/>
              <w:spacing w:before="0" w:after="283"/>
              <w:jc w:val="left"/>
              <w:rPr/>
            </w:pPr>
            <w:r>
              <w:rPr/>
              <w:t>Определение об отказе в выдаче судебного акта</w:t>
            </w:r>
          </w:p>
        </w:tc>
        <w:tc>
          <w:tcPr>
            <w:tcW w:w="4258" w:type="dxa"/>
            <w:tcBorders/>
            <w:vAlign w:val="center"/>
          </w:tcPr>
          <w:p>
            <w:pPr>
              <w:pStyle w:val="Style15"/>
              <w:bidi w:val="0"/>
              <w:spacing w:before="0" w:after="283"/>
              <w:jc w:val="left"/>
              <w:rPr/>
            </w:pPr>
            <w:r>
              <w:rPr/>
              <w:t>Отдельный СА</w:t>
            </w:r>
          </w:p>
        </w:tc>
        <w:tc>
          <w:tcPr>
            <w:tcW w:w="2338" w:type="dxa"/>
            <w:tcBorders/>
            <w:vAlign w:val="center"/>
          </w:tcPr>
          <w:p>
            <w:pPr>
              <w:pStyle w:val="Style15"/>
              <w:bidi w:val="0"/>
              <w:spacing w:before="0" w:after="283"/>
              <w:jc w:val="left"/>
              <w:rPr/>
            </w:pPr>
            <w:r>
              <w:rPr/>
              <w:t>Да</w:t>
            </w:r>
          </w:p>
        </w:tc>
        <w:tc>
          <w:tcPr>
            <w:tcW w:w="6007" w:type="dxa"/>
            <w:tcBorders/>
            <w:vAlign w:val="center"/>
          </w:tcPr>
          <w:p>
            <w:pPr>
              <w:pStyle w:val="Style15"/>
              <w:bidi w:val="0"/>
              <w:spacing w:before="0" w:after="283"/>
              <w:jc w:val="left"/>
              <w:rPr/>
            </w:pPr>
            <w:r>
              <w:rPr/>
              <w:t>Шаблоны в приложении к Заключению об обследовании</w:t>
            </w:r>
          </w:p>
        </w:tc>
      </w:tr>
    </w:tbl>
    <w:p>
      <w:pPr>
        <w:pStyle w:val="Heading2"/>
        <w:bidi w:val="0"/>
        <w:jc w:val="left"/>
        <w:rPr/>
      </w:pPr>
      <w:r>
        <w:rPr/>
        <w:t>7. Межведомственное взаимодействие</w:t>
      </w:r>
    </w:p>
    <w:tbl>
      <w:tblPr>
        <w:tblW w:w="4878" w:type="dxa"/>
        <w:jc w:val="left"/>
        <w:tblInd w:w="0" w:type="dxa"/>
        <w:tblLayout w:type="fixed"/>
        <w:tblCellMar>
          <w:top w:w="28" w:type="dxa"/>
          <w:left w:w="28" w:type="dxa"/>
          <w:bottom w:w="28" w:type="dxa"/>
          <w:right w:w="28" w:type="dxa"/>
        </w:tblCellMar>
      </w:tblPr>
      <w:tblGrid>
        <w:gridCol w:w="1273"/>
        <w:gridCol w:w="2530"/>
        <w:gridCol w:w="1075"/>
      </w:tblGrid>
      <w:tr>
        <w:trPr>
          <w:tblHeader w:val="true"/>
        </w:trPr>
        <w:tc>
          <w:tcPr>
            <w:tcW w:w="1273" w:type="dxa"/>
            <w:tcBorders/>
            <w:vAlign w:val="center"/>
          </w:tcPr>
          <w:p>
            <w:pPr>
              <w:pStyle w:val="Style15"/>
              <w:bidi w:val="0"/>
              <w:spacing w:before="0" w:after="283"/>
              <w:jc w:val="left"/>
              <w:rPr/>
            </w:pPr>
            <w:r>
              <w:rPr>
                <w:rStyle w:val="Strong"/>
              </w:rPr>
              <w:t>Ведомство</w:t>
            </w:r>
          </w:p>
        </w:tc>
        <w:tc>
          <w:tcPr>
            <w:tcW w:w="2530" w:type="dxa"/>
            <w:tcBorders/>
            <w:vAlign w:val="center"/>
          </w:tcPr>
          <w:p>
            <w:pPr>
              <w:pStyle w:val="Style15"/>
              <w:bidi w:val="0"/>
              <w:spacing w:before="0" w:after="283"/>
              <w:jc w:val="left"/>
              <w:rPr/>
            </w:pPr>
            <w:r>
              <w:rPr>
                <w:rStyle w:val="Strong"/>
              </w:rPr>
              <w:t>Вид взаимодействия</w:t>
            </w:r>
          </w:p>
        </w:tc>
        <w:tc>
          <w:tcPr>
            <w:tcW w:w="1075" w:type="dxa"/>
            <w:tcBorders/>
            <w:vAlign w:val="center"/>
          </w:tcPr>
          <w:p>
            <w:pPr>
              <w:pStyle w:val="Style15"/>
              <w:bidi w:val="0"/>
              <w:spacing w:before="0" w:after="283"/>
              <w:jc w:val="left"/>
              <w:rPr/>
            </w:pPr>
            <w:r>
              <w:rPr>
                <w:rStyle w:val="Strong"/>
              </w:rPr>
              <w:t>Система</w:t>
            </w:r>
          </w:p>
        </w:tc>
      </w:tr>
      <w:tr>
        <w:trPr/>
        <w:tc>
          <w:tcPr>
            <w:tcW w:w="1273" w:type="dxa"/>
            <w:tcBorders/>
            <w:vAlign w:val="center"/>
          </w:tcPr>
          <w:p>
            <w:pPr>
              <w:pStyle w:val="Style15"/>
              <w:bidi w:val="0"/>
              <w:spacing w:before="0" w:after="283"/>
              <w:jc w:val="left"/>
              <w:rPr/>
            </w:pPr>
            <w:r>
              <w:rPr/>
              <w:t>ФССП</w:t>
            </w:r>
          </w:p>
        </w:tc>
        <w:tc>
          <w:tcPr>
            <w:tcW w:w="2530" w:type="dxa"/>
            <w:tcBorders/>
            <w:vAlign w:val="center"/>
          </w:tcPr>
          <w:p>
            <w:pPr>
              <w:pStyle w:val="Style15"/>
              <w:bidi w:val="0"/>
              <w:spacing w:before="0" w:after="283"/>
              <w:jc w:val="left"/>
              <w:rPr/>
            </w:pPr>
            <w:r>
              <w:rPr/>
              <w:t>Электронное/бумажное</w:t>
            </w:r>
          </w:p>
        </w:tc>
        <w:tc>
          <w:tcPr>
            <w:tcW w:w="1075" w:type="dxa"/>
            <w:tcBorders/>
            <w:vAlign w:val="center"/>
          </w:tcPr>
          <w:p>
            <w:pPr>
              <w:pStyle w:val="Style15"/>
              <w:bidi w:val="0"/>
              <w:spacing w:before="0" w:after="283"/>
              <w:jc w:val="left"/>
              <w:rPr/>
            </w:pPr>
            <w:r>
              <w:rPr/>
              <w:t>СМЭВ</w:t>
            </w:r>
          </w:p>
        </w:tc>
      </w:tr>
      <w:tr>
        <w:trPr/>
        <w:tc>
          <w:tcPr>
            <w:tcW w:w="1273" w:type="dxa"/>
            <w:tcBorders/>
            <w:vAlign w:val="center"/>
          </w:tcPr>
          <w:p>
            <w:pPr>
              <w:pStyle w:val="Style15"/>
              <w:bidi w:val="0"/>
              <w:spacing w:before="0" w:after="283"/>
              <w:jc w:val="left"/>
              <w:rPr/>
            </w:pPr>
            <w:r>
              <w:rPr/>
              <w:t>ФНС</w:t>
            </w:r>
          </w:p>
        </w:tc>
        <w:tc>
          <w:tcPr>
            <w:tcW w:w="2530" w:type="dxa"/>
            <w:tcBorders/>
            <w:vAlign w:val="center"/>
          </w:tcPr>
          <w:p>
            <w:pPr>
              <w:pStyle w:val="Style15"/>
              <w:bidi w:val="0"/>
              <w:spacing w:before="0" w:after="283"/>
              <w:jc w:val="left"/>
              <w:rPr/>
            </w:pPr>
            <w:r>
              <w:rPr/>
              <w:t>Электронное/бумажное</w:t>
            </w:r>
          </w:p>
        </w:tc>
        <w:tc>
          <w:tcPr>
            <w:tcW w:w="1075" w:type="dxa"/>
            <w:tcBorders/>
            <w:vAlign w:val="center"/>
          </w:tcPr>
          <w:p>
            <w:pPr>
              <w:pStyle w:val="Style15"/>
              <w:bidi w:val="0"/>
              <w:spacing w:before="0" w:after="283"/>
              <w:jc w:val="left"/>
              <w:rPr/>
            </w:pPr>
            <w:r>
              <w:rPr/>
              <w:t>СМЭВ</w:t>
            </w:r>
          </w:p>
        </w:tc>
      </w:tr>
    </w:tbl>
    <w:p>
      <w:pPr>
        <w:pStyle w:val="Heading2"/>
        <w:bidi w:val="0"/>
        <w:jc w:val="left"/>
        <w:rPr/>
      </w:pPr>
      <w:r>
        <w:rPr/>
        <w:t>8. Информация о процессуальных сроках</w:t>
      </w:r>
    </w:p>
    <w:tbl>
      <w:tblPr>
        <w:tblW w:w="15304" w:type="dxa"/>
        <w:jc w:val="left"/>
        <w:tblInd w:w="0" w:type="dxa"/>
        <w:tblLayout w:type="fixed"/>
        <w:tblCellMar>
          <w:top w:w="28" w:type="dxa"/>
          <w:left w:w="28" w:type="dxa"/>
          <w:bottom w:w="28" w:type="dxa"/>
          <w:right w:w="28" w:type="dxa"/>
        </w:tblCellMar>
      </w:tblPr>
      <w:tblGrid>
        <w:gridCol w:w="1657"/>
        <w:gridCol w:w="4534"/>
        <w:gridCol w:w="6706"/>
        <w:gridCol w:w="2407"/>
      </w:tblGrid>
      <w:tr>
        <w:trPr>
          <w:tblHeader w:val="true"/>
        </w:trPr>
        <w:tc>
          <w:tcPr>
            <w:tcW w:w="1657" w:type="dxa"/>
            <w:tcBorders/>
            <w:vAlign w:val="center"/>
          </w:tcPr>
          <w:p>
            <w:pPr>
              <w:pStyle w:val="Style15"/>
              <w:bidi w:val="0"/>
              <w:spacing w:before="0" w:after="283"/>
              <w:jc w:val="left"/>
              <w:rPr/>
            </w:pPr>
            <w:r>
              <w:rPr>
                <w:rStyle w:val="Strong"/>
              </w:rPr>
              <w:t>Шаг процесса</w:t>
            </w:r>
          </w:p>
        </w:tc>
        <w:tc>
          <w:tcPr>
            <w:tcW w:w="4534" w:type="dxa"/>
            <w:tcBorders/>
            <w:vAlign w:val="center"/>
          </w:tcPr>
          <w:p>
            <w:pPr>
              <w:pStyle w:val="Style15"/>
              <w:bidi w:val="0"/>
              <w:spacing w:before="0" w:after="283"/>
              <w:jc w:val="left"/>
              <w:rPr/>
            </w:pPr>
            <w:r>
              <w:rPr>
                <w:rStyle w:val="Strong"/>
              </w:rPr>
              <w:t>Описание действия</w:t>
            </w:r>
          </w:p>
        </w:tc>
        <w:tc>
          <w:tcPr>
            <w:tcW w:w="6706" w:type="dxa"/>
            <w:tcBorders/>
            <w:vAlign w:val="center"/>
          </w:tcPr>
          <w:p>
            <w:pPr>
              <w:pStyle w:val="Style15"/>
              <w:bidi w:val="0"/>
              <w:spacing w:before="0" w:after="283"/>
              <w:jc w:val="left"/>
              <w:rPr/>
            </w:pPr>
            <w:r>
              <w:rPr>
                <w:rStyle w:val="Strong"/>
              </w:rPr>
              <w:t>Срок</w:t>
            </w:r>
          </w:p>
        </w:tc>
        <w:tc>
          <w:tcPr>
            <w:tcW w:w="2407" w:type="dxa"/>
            <w:tcBorders/>
            <w:vAlign w:val="center"/>
          </w:tcPr>
          <w:p>
            <w:pPr>
              <w:pStyle w:val="Style15"/>
              <w:bidi w:val="0"/>
              <w:spacing w:before="0" w:after="283"/>
              <w:jc w:val="left"/>
              <w:rPr/>
            </w:pPr>
            <w:r>
              <w:rPr>
                <w:rStyle w:val="Strong"/>
              </w:rPr>
              <w:t>Правовое основание</w:t>
            </w:r>
          </w:p>
        </w:tc>
      </w:tr>
      <w:tr>
        <w:trPr/>
        <w:tc>
          <w:tcPr>
            <w:tcW w:w="1657" w:type="dxa"/>
            <w:tcBorders/>
            <w:vAlign w:val="center"/>
          </w:tcPr>
          <w:p>
            <w:pPr>
              <w:pStyle w:val="Style15"/>
              <w:bidi w:val="0"/>
              <w:spacing w:before="0" w:after="283"/>
              <w:jc w:val="left"/>
              <w:rPr/>
            </w:pPr>
            <w:r>
              <w:rPr/>
              <w:t>8</w:t>
            </w:r>
          </w:p>
        </w:tc>
        <w:tc>
          <w:tcPr>
            <w:tcW w:w="4534" w:type="dxa"/>
            <w:tcBorders/>
            <w:vAlign w:val="center"/>
          </w:tcPr>
          <w:p>
            <w:pPr>
              <w:pStyle w:val="Style15"/>
              <w:bidi w:val="0"/>
              <w:spacing w:before="0" w:after="283"/>
              <w:jc w:val="left"/>
              <w:rPr/>
            </w:pPr>
            <w:r>
              <w:rPr/>
              <w:t>Вступление СП в законную силу</w:t>
            </w:r>
          </w:p>
        </w:tc>
        <w:tc>
          <w:tcPr>
            <w:tcW w:w="6706" w:type="dxa"/>
            <w:tcBorders/>
            <w:vAlign w:val="center"/>
          </w:tcPr>
          <w:p>
            <w:pPr>
              <w:pStyle w:val="Style15"/>
              <w:bidi w:val="0"/>
              <w:spacing w:before="0" w:after="283"/>
              <w:jc w:val="left"/>
              <w:rPr/>
            </w:pPr>
            <w:r>
              <w:rPr/>
              <w:t>10 дней со дня получения должником копии СП</w:t>
            </w:r>
          </w:p>
        </w:tc>
        <w:tc>
          <w:tcPr>
            <w:tcW w:w="2407" w:type="dxa"/>
            <w:tcBorders/>
            <w:vAlign w:val="center"/>
          </w:tcPr>
          <w:p>
            <w:pPr>
              <w:pStyle w:val="Style15"/>
              <w:bidi w:val="0"/>
              <w:spacing w:before="0" w:after="283"/>
              <w:jc w:val="left"/>
              <w:rPr/>
            </w:pPr>
            <w:r>
              <w:rPr/>
              <w:t>ст. 229.6 АПК РФ</w:t>
            </w:r>
          </w:p>
        </w:tc>
      </w:tr>
      <w:tr>
        <w:trPr/>
        <w:tc>
          <w:tcPr>
            <w:tcW w:w="1657" w:type="dxa"/>
            <w:tcBorders/>
            <w:vAlign w:val="center"/>
          </w:tcPr>
          <w:p>
            <w:pPr>
              <w:pStyle w:val="Style15"/>
              <w:bidi w:val="0"/>
              <w:spacing w:before="0" w:after="283"/>
              <w:jc w:val="left"/>
              <w:rPr/>
            </w:pPr>
            <w:r>
              <w:rPr/>
              <w:t>16</w:t>
            </w:r>
          </w:p>
        </w:tc>
        <w:tc>
          <w:tcPr>
            <w:tcW w:w="4534" w:type="dxa"/>
            <w:tcBorders/>
            <w:vAlign w:val="center"/>
          </w:tcPr>
          <w:p>
            <w:pPr>
              <w:pStyle w:val="Style15"/>
              <w:bidi w:val="0"/>
              <w:spacing w:before="0" w:after="283"/>
              <w:jc w:val="left"/>
              <w:rPr/>
            </w:pPr>
            <w:r>
              <w:rPr/>
              <w:t>Ожидание вступления СА в законную силу</w:t>
            </w:r>
          </w:p>
        </w:tc>
        <w:tc>
          <w:tcPr>
            <w:tcW w:w="6706" w:type="dxa"/>
            <w:tcBorders/>
            <w:vAlign w:val="center"/>
          </w:tcPr>
          <w:p>
            <w:pPr>
              <w:pStyle w:val="Style15"/>
              <w:bidi w:val="0"/>
              <w:spacing w:before="0" w:after="283"/>
              <w:jc w:val="left"/>
              <w:rPr/>
            </w:pPr>
            <w:r>
              <w:rPr/>
              <w:t>Срок вступления СА в законную силу в зависимости от вида СА</w:t>
            </w:r>
          </w:p>
        </w:tc>
        <w:tc>
          <w:tcPr>
            <w:tcW w:w="2407" w:type="dxa"/>
            <w:tcBorders/>
            <w:vAlign w:val="center"/>
          </w:tcPr>
          <w:p>
            <w:pPr>
              <w:pStyle w:val="Style15"/>
              <w:bidi w:val="0"/>
              <w:spacing w:before="0" w:after="283"/>
              <w:jc w:val="left"/>
              <w:rPr/>
            </w:pPr>
            <w:r>
              <w:rPr/>
              <w:t>АПК РФ</w:t>
            </w:r>
          </w:p>
        </w:tc>
      </w:tr>
      <w:tr>
        <w:trPr/>
        <w:tc>
          <w:tcPr>
            <w:tcW w:w="1657" w:type="dxa"/>
            <w:tcBorders/>
            <w:vAlign w:val="center"/>
          </w:tcPr>
          <w:p>
            <w:pPr>
              <w:pStyle w:val="Style15"/>
              <w:bidi w:val="0"/>
              <w:spacing w:before="0" w:after="283"/>
              <w:jc w:val="left"/>
              <w:rPr/>
            </w:pPr>
            <w:r>
              <w:rPr/>
              <w:t>55</w:t>
            </w:r>
          </w:p>
        </w:tc>
        <w:tc>
          <w:tcPr>
            <w:tcW w:w="4534" w:type="dxa"/>
            <w:tcBorders/>
            <w:vAlign w:val="center"/>
          </w:tcPr>
          <w:p>
            <w:pPr>
              <w:pStyle w:val="Style15"/>
              <w:bidi w:val="0"/>
              <w:spacing w:before="0" w:after="283"/>
              <w:jc w:val="left"/>
              <w:rPr/>
            </w:pPr>
            <w:r>
              <w:rPr/>
              <w:t>Ожидание вступления СА в законную силу</w:t>
            </w:r>
          </w:p>
        </w:tc>
        <w:tc>
          <w:tcPr>
            <w:tcW w:w="6706" w:type="dxa"/>
            <w:tcBorders/>
            <w:vAlign w:val="center"/>
          </w:tcPr>
          <w:p>
            <w:pPr>
              <w:pStyle w:val="Style15"/>
              <w:bidi w:val="0"/>
              <w:spacing w:before="0" w:after="283"/>
              <w:jc w:val="left"/>
              <w:rPr/>
            </w:pPr>
            <w:r>
              <w:rPr/>
              <w:t>Срок вступления СА в законную силу в зависимости от вида СА</w:t>
            </w:r>
          </w:p>
        </w:tc>
        <w:tc>
          <w:tcPr>
            <w:tcW w:w="2407" w:type="dxa"/>
            <w:tcBorders/>
            <w:vAlign w:val="center"/>
          </w:tcPr>
          <w:p>
            <w:pPr>
              <w:pStyle w:val="Style15"/>
              <w:bidi w:val="0"/>
              <w:spacing w:before="0" w:after="283"/>
              <w:jc w:val="left"/>
              <w:rPr/>
            </w:pPr>
            <w:r>
              <w:rPr/>
              <w:t>АПК РФ</w:t>
            </w:r>
          </w:p>
        </w:tc>
      </w:tr>
      <w:tr>
        <w:trPr/>
        <w:tc>
          <w:tcPr>
            <w:tcW w:w="1657" w:type="dxa"/>
            <w:tcBorders/>
            <w:vAlign w:val="center"/>
          </w:tcPr>
          <w:p>
            <w:pPr>
              <w:pStyle w:val="Style15"/>
              <w:bidi w:val="0"/>
              <w:spacing w:before="0" w:after="283"/>
              <w:jc w:val="left"/>
              <w:rPr/>
            </w:pPr>
            <w:r>
              <w:rPr/>
              <w:t>40, 78</w:t>
            </w:r>
          </w:p>
        </w:tc>
        <w:tc>
          <w:tcPr>
            <w:tcW w:w="4534" w:type="dxa"/>
            <w:tcBorders/>
            <w:vAlign w:val="center"/>
          </w:tcPr>
          <w:p>
            <w:pPr>
              <w:pStyle w:val="Style15"/>
              <w:bidi w:val="0"/>
              <w:spacing w:before="0" w:after="283"/>
              <w:jc w:val="left"/>
              <w:rPr/>
            </w:pPr>
            <w:r>
              <w:rPr/>
              <w:t>Направление документов</w:t>
            </w:r>
          </w:p>
        </w:tc>
        <w:tc>
          <w:tcPr>
            <w:tcW w:w="6706" w:type="dxa"/>
            <w:tcBorders/>
            <w:vAlign w:val="center"/>
          </w:tcPr>
          <w:p>
            <w:pPr>
              <w:pStyle w:val="Style15"/>
              <w:bidi w:val="0"/>
              <w:spacing w:before="0" w:after="283"/>
              <w:jc w:val="left"/>
              <w:rPr/>
            </w:pPr>
            <w:r>
              <w:rPr/>
              <w:t>Срок варьируется в зависимости от категории спора</w:t>
            </w:r>
          </w:p>
        </w:tc>
        <w:tc>
          <w:tcPr>
            <w:tcW w:w="2407" w:type="dxa"/>
            <w:tcBorders/>
            <w:vAlign w:val="center"/>
          </w:tcPr>
          <w:p>
            <w:pPr>
              <w:pStyle w:val="Style15"/>
              <w:bidi w:val="0"/>
              <w:spacing w:before="0" w:after="283"/>
              <w:jc w:val="left"/>
              <w:rPr/>
            </w:pPr>
            <w:r>
              <w:rPr/>
              <w:t>АПК РФ</w:t>
            </w:r>
          </w:p>
        </w:tc>
      </w:tr>
    </w:tbl>
    <w:p>
      <w:pPr>
        <w:pStyle w:val="BodyText"/>
        <w:bidi w:val="0"/>
        <w:jc w:val="left"/>
        <w:rPr/>
      </w:pPr>
      <w:r>
        <w:rPr/>
      </w:r>
    </w:p>
    <w:p>
      <w:pPr>
        <w:pStyle w:val="Heading2"/>
        <w:bidi w:val="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Sans">
    <w:altName w:val="Arial"/>
    <w:charset w:val="cc"/>
    <w:family w:val="swiss"/>
    <w:pitch w:val="variable"/>
  </w:font>
  <w:font w:name="Segoe UI">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3">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ru-RU" w:eastAsia="zh-CN" w:bidi="hi-IN"/>
    </w:rPr>
  </w:style>
  <w:style w:type="paragraph" w:styleId="Heading1">
    <w:name w:val="Heading 1"/>
    <w:basedOn w:val="Style13"/>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Style13"/>
    <w:next w:val="BodyText"/>
    <w:qFormat/>
    <w:pPr>
      <w:spacing w:before="200" w:after="120"/>
      <w:outlineLvl w:val="1"/>
    </w:pPr>
    <w:rPr>
      <w:rFonts w:ascii="Liberation Serif" w:hAnsi="Liberation Serif" w:eastAsia="NSimSun" w:cs="Arial"/>
      <w:b/>
      <w:bCs/>
      <w:sz w:val="36"/>
      <w:szCs w:val="36"/>
    </w:rPr>
  </w:style>
  <w:style w:type="character" w:styleId="Style12">
    <w:name w:val="Символ нумерации"/>
    <w:qFormat/>
    <w:rPr/>
  </w:style>
  <w:style w:type="character" w:styleId="Strong">
    <w:name w:val="Strong"/>
    <w:qFormat/>
    <w:rPr>
      <w:b/>
      <w:bCs/>
    </w:rPr>
  </w:style>
  <w:style w:type="character" w:styleId="DefaultParagraphFont">
    <w:name w:val="Default Paragraph Font"/>
    <w:qFormat/>
    <w:rPr/>
  </w:style>
  <w:style w:type="character" w:styleId="Emphasis">
    <w:name w:val="Emphasis"/>
    <w:basedOn w:val="DefaultParagraphFont"/>
    <w:qFormat/>
    <w:rPr>
      <w:i/>
      <w:iCs/>
    </w:rPr>
  </w:style>
  <w:style w:type="character" w:styleId="Hyperlink">
    <w:name w:val="Hyperlink"/>
    <w:rPr>
      <w:color w:val="000080"/>
      <w:u w:val="single"/>
    </w:rPr>
  </w:style>
  <w:style w:type="paragraph" w:styleId="Style13">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Указатель"/>
    <w:basedOn w:val="Normal"/>
    <w:qFormat/>
    <w:pPr>
      <w:suppressLineNumbers/>
    </w:pPr>
    <w:rPr>
      <w:rFonts w:cs="Arial"/>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 w:type="paragraph" w:styleId="NormalWeb">
    <w:name w:val="Normal (Web)"/>
    <w:basedOn w:val="Normal"/>
    <w:qFormat/>
    <w:pPr>
      <w:spacing w:beforeAutospacing="1" w:afterAutospacing="1"/>
    </w:pPr>
    <w:rPr/>
  </w:style>
  <w:style w:type="numbering" w:styleId="123">
    <w:name w:val="Нумерованный 12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TotalTime>
  <Application>LibreOffice/7.6.4.1$Windows_X86_64 LibreOffice_project/e19e193f88cd6c0525a17fb7a176ed8e6a3e2aa1</Application>
  <AppVersion>15.0000</AppVersion>
  <Pages>1</Pages>
  <Words>3773</Words>
  <Characters>22585</Characters>
  <CharactersWithSpaces>25522</CharactersWithSpaces>
  <Paragraphs>859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2025-10-28T09:02:52Z</dcterms:created>
  <dc:creator/>
  <dc:description/>
  <dc:language>ru-RU</dc:language>
  <cp:lastModifiedBy/>
  <dcterms:modified xsi:type="dcterms:W3CDTF">2025-10-28T09:52:14Z</dcterms:modified>
  <cp:revision>21</cp:revision>
  <dc:subject/>
  <dc:title/>
</cp:coreProperties>
</file>