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Heading3"/>
        <w:spacing w:before="120" w:after="160"/>
        <w:contextualSpacing w:val="false"/>
        <w:rPr/>
      </w:pPr>
      <w:r>
        <w:rPr/>
        <w:t>Реестр компонентов Системы с описанием реализуемых функций</w:t>
      </w:r>
    </w:p>
    <w:p>
      <w:pPr>
        <w:pStyle w:val="normal1"/>
        <w:spacing w:before="0" w:after="0"/>
        <w:rPr/>
      </w:pPr>
      <w:r>
        <w:rPr/>
      </w:r>
    </w:p>
    <w:tbl>
      <w:tblPr>
        <w:tblStyle w:val="DefaultTable"/>
        <w:tblW w:w="9360" w:type="dxa"/>
        <w:jc w:val="center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1620"/>
        <w:gridCol w:w="2340"/>
        <w:gridCol w:w="2070"/>
        <w:gridCol w:w="3329"/>
      </w:tblGrid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CCCCC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Код компонента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CCCCC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Наименование компонента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CCCCC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Тип</w:t>
            </w:r>
          </w:p>
        </w:tc>
        <w:tc>
          <w:tcPr>
            <w:tcW w:w="3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CCCCC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Реализуемые функции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К-ПД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Компонент «Подача документов»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судебный</w:t>
            </w:r>
          </w:p>
        </w:tc>
        <w:tc>
          <w:tcPr>
            <w:tcW w:w="3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Обеспечивает единый шлюз для приема всех документов, подаваемых в суд внешними сторонами, отвечая за механику и регистрацию транзакции подачи.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К-ВП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Компонент «Возбуждение производства»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судебный</w:t>
            </w:r>
          </w:p>
        </w:tc>
        <w:tc>
          <w:tcPr>
            <w:tcW w:w="3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Управляет процессом получения инициирующего документа (например, искового заявления) и принятия решения о его принятии к производству, возврате или оставлении без движения.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К-ОП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Компонент «Определение подсудности»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судебный</w:t>
            </w:r>
          </w:p>
        </w:tc>
        <w:tc>
          <w:tcPr>
            <w:tcW w:w="3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Предоставляет сервис для определения надлежащей подсудности спора, инкапсулируя правила процессуальных кодексов о предметной и территориальной компетенции.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К-СП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Компонент «Судебное производство»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судебный</w:t>
            </w:r>
          </w:p>
        </w:tc>
        <w:tc>
          <w:tcPr>
            <w:tcW w:w="3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Является основным компонентом для управления активным судебным делом с момента его принятия к производству, координируя все ключевые стадии от подготовки до вынесения итогового решения.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К-УС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Компонент «Урегулирование спора»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судебный</w:t>
            </w:r>
          </w:p>
        </w:tc>
        <w:tc>
          <w:tcPr>
            <w:tcW w:w="3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Управляет процессом переговоров и заключения мировых соглашений, предоставляя сторонам инструменты для добровольного урегулирования спора.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К-УП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Компонент «Упрощенное производство»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судебный</w:t>
            </w:r>
          </w:p>
        </w:tc>
        <w:tc>
          <w:tcPr>
            <w:tcW w:w="3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Управляет полным жизненным циклом дела, рассматриваемого в порядке упрощенного производства, включая особые правила вынесения решения и изготовления его мотивированной части.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К-УПД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Компонент «Управление портфелем дел»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судебный</w:t>
            </w:r>
          </w:p>
        </w:tc>
        <w:tc>
          <w:tcPr>
            <w:tcW w:w="3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Обеспечивает управление совокупностью всех судебных дел, реализуя такие административные действия, как объединение дел в одно производство, выделение требований или передача дела по подсудности.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К-ИП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Компонент «Исполнительное производство»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судебный</w:t>
            </w:r>
          </w:p>
        </w:tc>
        <w:tc>
          <w:tcPr>
            <w:tcW w:w="3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Отвечает за управление жизненным циклом исполнительных документов, включая их выдачу, отзыв и отслеживание статуса на основании итогового судебного акта.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К-АД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Компонент «Архивное делопроизводство»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судебный</w:t>
            </w:r>
          </w:p>
        </w:tc>
        <w:tc>
          <w:tcPr>
            <w:tcW w:w="3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Управляет заключительным этапом жизненного цикла дела, обеспечивая его подготовку и передачу в долгосрочный архив в соответствии с нормативными требованиями.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К-ПА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«Партионная и частичная архивация»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операционный</w:t>
            </w:r>
          </w:p>
        </w:tc>
        <w:tc>
          <w:tcPr>
            <w:tcW w:w="3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Модуль архивного делопроизводства, адаптированный под макро-дела. Позволяет инвентаризировать, списывать в архив или передавать в Госархив отдельные тома или обособленные споры без необходимости закрытия всего корневого дела о банкротстве или корпоративного спора.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К-ВДД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Компонент «Внутреннее движение документов»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поддерживающий</w:t>
            </w:r>
          </w:p>
        </w:tc>
        <w:tc>
          <w:tcPr>
            <w:tcW w:w="3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Управляет отслеживаемой передачей пакетов документов между внутренними подразделениями суда (например, из канцелярии судье), обеспечивая контроль за «цепочкой ответственности».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К-ПСР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Компонент «Проверка на соответствие регламенту»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поддерживающий</w:t>
            </w:r>
          </w:p>
        </w:tc>
        <w:tc>
          <w:tcPr>
            <w:tcW w:w="3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Централизованный сервис валидации документов на соответствие формальным и процедурным требованиям. Инкапсулирует логику проверки права на обращение (например, порог задолженности &gt;10% в банкротстве) и соблюдения периодов подозрительности.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К-ИПП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Компонент «Интеллектуальный помощник и поддержка принятия решений»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поддерживающий</w:t>
            </w:r>
          </w:p>
        </w:tc>
        <w:tc>
          <w:tcPr>
            <w:tcW w:w="3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Предоставляет интеллектуальную помощь (ИИ) для конструирования документов и формирования правовой позиции по делу. Анализирует материалы спора, сопоставляет их с судебной практикой и готовит отчеты для судей (например, по оспариванию сделок) .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К-МД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Компонент «Материалы дела»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поддерживающий</w:t>
            </w:r>
          </w:p>
        </w:tc>
        <w:tc>
          <w:tcPr>
            <w:tcW w:w="3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Управляет жизненным циклом официальных документов после их регистрации, обеспечивая их хранение, учет и организацию ознакомления с ними участников процесса.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К-ПЗ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Компонент «Планирование заседаний»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поддерживающий</w:t>
            </w:r>
          </w:p>
        </w:tc>
        <w:tc>
          <w:tcPr>
            <w:tcW w:w="3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Отвечает за логистическую организацию судебных заседаний, управляя ресурсами, такими как календари судей и залы судебных заседаний.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К-ПСЗ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Компонент «Протоколирование судебного заседания»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поддерживающий</w:t>
            </w:r>
          </w:p>
        </w:tc>
        <w:tc>
          <w:tcPr>
            <w:tcW w:w="3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Управляет созданием, подписанием и обработкой замечаний на официальный протокол судебного заседания, включая привязку аудиозаписи.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К-УСС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Компонент «Управление составом суда»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поддерживающий</w:t>
            </w:r>
          </w:p>
        </w:tc>
        <w:tc>
          <w:tcPr>
            <w:tcW w:w="3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Управляет распределением дел между судьями в соответствии с установленными правилами (специализация, нагрузка), а также обрабатывает процедуры замены и отвода судей.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К-УДП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Компонент «Управление доступом и полномочиями»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поддерживающий</w:t>
            </w:r>
          </w:p>
        </w:tc>
        <w:tc>
          <w:tcPr>
            <w:tcW w:w="3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Является единым источником для аутентификации и авторизации пользователей, управляя ролями и правами доступа в Системе.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К-УПС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Компонент «Управление процессуальными сроками»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поддерживающий</w:t>
            </w:r>
          </w:p>
        </w:tc>
        <w:tc>
          <w:tcPr>
            <w:tcW w:w="3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Действует как централизованный хранитель времени для всех юридически значимых сроков, инкапсулируя правила их исчисления, приостановления и восстановления.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К-ПИ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Компонент «Подписки и информирование»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поддерживающий</w:t>
            </w:r>
          </w:p>
        </w:tc>
        <w:tc>
          <w:tcPr>
            <w:tcW w:w="3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Предоставляет настраиваемую систему информационных (не юридически значимых) уведомлений, позволяя пользователям подписываться на интересующие их события по делам.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К-УФД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Компонент «Управление финансами и депозитами»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поддерживающий</w:t>
            </w:r>
          </w:p>
        </w:tc>
        <w:tc>
          <w:tcPr>
            <w:tcW w:w="3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Отвечает за финансовые операции, связанные с судебными делами, включая проверку уплаты государственной пошлины и управление депозитным счетом суда.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К-ФДС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фидуциарными и депозитными средствами»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операционный</w:t>
            </w:r>
          </w:p>
        </w:tc>
        <w:tc>
          <w:tcPr>
            <w:tcW w:w="3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Специализированный финансовый леджер для управления депозитным счетом арбитражного суда. Интегрирован с процессуальным ядром: блокирует средства под обеспечительные меры и автоматически санкционирует выплаты (экспертам, АУ, кредиторам) строго по факту вступления судебных актов в силу (событийная модель).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К-РИО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Компонент «Раскрытие информации о деятельности суда»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поддерживающий</w:t>
            </w:r>
          </w:p>
        </w:tc>
        <w:tc>
          <w:tcPr>
            <w:tcW w:w="3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Управляет публикацией информации о делах и судебных актов на общедоступном сайте суда, обеспечивая при этом анонимизацию персональных данных.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К-СС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Компонент «Судебная статистика»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поддерживающий</w:t>
            </w:r>
          </w:p>
        </w:tc>
        <w:tc>
          <w:tcPr>
            <w:tcW w:w="3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Отвечает за формирование обязательных, строго структурированных статистических отчетов (статистических карточек) по каждому делу для вышестоящих судебных органов.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К-САС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«Специфическая арбитражная статистика и нагрузка»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операционный</w:t>
            </w:r>
          </w:p>
        </w:tc>
        <w:tc>
          <w:tcPr>
            <w:tcW w:w="3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Аналитический движок, умеющий обходить иерархические графы арбитражных дел. Рассчитывает реальную процессуальную нагрузку (Weight) с учетом обособленных споров, а также формирует сложные своды (Суммы заявленные vs Суммы взысканные) для форм № 1-АП, 1-АС, 1-Б.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К-УНСИ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Компонент «Управление нормативно-справочной информацией (НСИ)»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поддерживающий</w:t>
            </w:r>
          </w:p>
        </w:tc>
        <w:tc>
          <w:tcPr>
            <w:tcW w:w="3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Является единым источником для всех официальных справочников, классификаторов и перечней, используемых в Системе, обеспечивая согласованность данных.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К-КР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Компонент «Коллегиальное рассмотрение»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судебный</w:t>
            </w:r>
          </w:p>
        </w:tc>
        <w:tc>
          <w:tcPr>
            <w:tcW w:w="3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Управляет внутренним процессом принятия решения коллегией из нескольких судей, включая совещание, рецензирование проекта судебного акта и обработку особых мнений.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К-АП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Компонент «Апелляционное производство»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судебный</w:t>
            </w:r>
          </w:p>
        </w:tc>
        <w:tc>
          <w:tcPr>
            <w:tcW w:w="3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Управляет полным жизненным циклом формального обжалования судебного акта в суде апелляционной инстанции.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К-КП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Компонент «Кассационное производство»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судебный</w:t>
            </w:r>
          </w:p>
        </w:tc>
        <w:tc>
          <w:tcPr>
            <w:tcW w:w="3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Управляет жизненным циклом процедуры оспаривания вступивших в законную силу судебных актов в суде кассационной инстанции.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К-СУП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Компонент «Судебные поручения»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судебный</w:t>
            </w:r>
          </w:p>
        </w:tc>
        <w:tc>
          <w:tcPr>
            <w:tcW w:w="3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Управляет жизненным циклом судебных поручений, направляемых внешним субъектам (например, банкам) для исполнения обеспечительных мер.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К-ПСН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Компонент «Пересмотр судебного акта по новым обстоятельствам»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судебный</w:t>
            </w:r>
          </w:p>
        </w:tc>
        <w:tc>
          <w:tcPr>
            <w:tcW w:w="3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Управляет производством по пересмотру вступившего в законную силу судебного акта на основании обстоятельств, которые не были и не могли быть известны ранее.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К-ПВО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Компонент «Пересмотр по вновь открывшимся обстоятельствам»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судебный</w:t>
            </w:r>
          </w:p>
        </w:tc>
        <w:tc>
          <w:tcPr>
            <w:tcW w:w="3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Управляет производством по пересмотру вступившего в законную силу судебного акта на основании фактов, которые существовали ранее, но не были известны заявителю.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К-ПП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Компонент «Приказное производство»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судебный</w:t>
            </w:r>
          </w:p>
        </w:tc>
        <w:tc>
          <w:tcPr>
            <w:tcW w:w="3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Управляет ускоренным жизненным циклом приказного производства, от подачи заявления о выдаче судебного приказа до его выдачи или отмены.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К-ПСТ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Компонент «Производство по содействию третейским судам»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судебный</w:t>
            </w:r>
          </w:p>
        </w:tc>
        <w:tc>
          <w:tcPr>
            <w:tcW w:w="3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Управляет процессом рассмотрения заявлений от внешних третейских судов о предоставлении судебного содействия (например, в получении доказательств).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К-ПДБ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Компонент «Производство по делам о банкротстве»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судебный</w:t>
            </w:r>
          </w:p>
        </w:tc>
        <w:tc>
          <w:tcPr>
            <w:tcW w:w="3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Управляет уникальным жизненным циклом дела о банкротстве, включая специфические стадии (наблюдение, конкурсное производство) и управление деятельностью Арбитражного управляющего.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К-ПДБ-ФЛ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«Банкротство физических лиц»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судебный</w:t>
            </w:r>
          </w:p>
        </w:tc>
        <w:tc>
          <w:tcPr>
            <w:tcW w:w="3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Управляет уникальными процедурами банкротства граждан (реструктуризация долгов, реализация имущества), включая интеграцию с ЕФРСБ, контроль планов реструктуризации и вынесение решений об освобождении от обязательств.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К-ПДБ-О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«Оркестрация процедуры банкротства»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судебный</w:t>
            </w:r>
          </w:p>
        </w:tc>
        <w:tc>
          <w:tcPr>
            <w:tcW w:w="3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Управляет глобальным стейт-машиной процедуры (Lifecycle). Не хранит реестры или активы, только текущий статус, тип должника и переходы между процедурами (Наблюдение -&gt; Конкурсное).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К-КМ-А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«Конкурсная масса: Активы»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судебный</w:t>
            </w:r>
          </w:p>
        </w:tc>
        <w:tc>
          <w:tcPr>
            <w:tcW w:w="3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Управляет жизненным циклом индивидуальных объектов имущества должника. Каждый актив — отдельный стрим событий.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К-Торги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«Реализация имущества (Торги)»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судебный</w:t>
            </w:r>
          </w:p>
        </w:tc>
        <w:tc>
          <w:tcPr>
            <w:tcW w:w="3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Управляет процессом продажи активов. Агрегирует активы (EstateItems) в лоты и ведет их по стадиям торгов (Первые, Повторные, Публичное предложение).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К-СК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«Собрания кредиторов»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поддерживающий</w:t>
            </w:r>
          </w:p>
        </w:tc>
        <w:tc>
          <w:tcPr>
            <w:tcW w:w="3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Отвечает за организацию волеизъявления кредиторов. Использует данные К-РТК для подсчета веса голосов, но сам процесс голосования инкапсулирован здесь.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К-ПВ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«План восстановления (Реабилитация)»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судебный</w:t>
            </w:r>
          </w:p>
        </w:tc>
        <w:tc>
          <w:tcPr>
            <w:tcW w:w="3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Управляет графиками погашения долгов в реабилитационных процедурах (Фин. оздоровление, Внешнее управление, План реструктуризации гражданина).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К-ДЗ-О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«Объекты долевого строительства (Застройщики)»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судебный</w:t>
            </w:r>
          </w:p>
        </w:tc>
        <w:tc>
          <w:tcPr>
            <w:tcW w:w="3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Специфичный для KBP30 компонент. Управляет реестром жилых помещений (отличается от денежного реестра). Решает проблему Double Spending (двойных продаж).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К-ПДА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Компонент «Производство по делам об административных правонарушениях»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судебный</w:t>
            </w:r>
          </w:p>
        </w:tc>
        <w:tc>
          <w:tcPr>
            <w:tcW w:w="3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Управляет судебным процессом по оспариванию решений, вынесенных государственными административными органами.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К-ПНА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«Приостановление ненормативных актов»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судебный</w:t>
            </w:r>
          </w:p>
        </w:tc>
        <w:tc>
          <w:tcPr>
            <w:tcW w:w="3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Управляет автоматизированным механизмом мгновенного уведомления госорганов (ЦБ, ФНС, ФТС, ФАС) о приостановлении действия их актов или взысканий (например, блокировке инкассовых поручений) на период арбитражного спора.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К-ПОП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Компонент «Производство по оспариванию и приведению в исполнение решений третейских судов»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судебный</w:t>
            </w:r>
          </w:p>
        </w:tc>
        <w:tc>
          <w:tcPr>
            <w:tcW w:w="3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Управляет особым производством, в котором одновременно рассматриваются заявления о принудительном исполнении и об отмене решения третейского суда.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К-ПДЗ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Компонент «Производство по делам о запрете рассмотрения спора в иностранном суде»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судебный</w:t>
            </w:r>
          </w:p>
        </w:tc>
        <w:tc>
          <w:tcPr>
            <w:tcW w:w="3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Управляет процедурой рассмотрения заявлений о наложении судебного запрета (anti-suit injunction) на инициирование или продолжение разбирательства в иностранном суде.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К-УВД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Компонент «Управление вещественными доказательствами»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судебный</w:t>
            </w:r>
          </w:p>
        </w:tc>
        <w:tc>
          <w:tcPr>
            <w:tcW w:w="3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Отвечает за учет, хранение, отслеживание перемещений и исполнение решения суда о судьбе материальных объектов, принятых в качестве вещественных доказательств.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К-ПК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Компонент «Процессуальный контроль»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поддерживающий</w:t>
            </w:r>
          </w:p>
        </w:tc>
        <w:tc>
          <w:tcPr>
            <w:tcW w:w="3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Выполняет функции внутреннего аудита и контроля для обеспечения соответствия судебного процесса установленным процессуальным правилам и стандартам.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К-ОА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Компонент «Отчетность и аналитика»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поддерживающий</w:t>
            </w:r>
          </w:p>
        </w:tc>
        <w:tc>
          <w:tcPr>
            <w:tcW w:w="3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Предоставляет гибкие, настраиваемые пользователем возможности по формированию нестандартных отчетов и анализу данных.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К-РШС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Компонент «Распределенная шина сообщений»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платформенный</w:t>
            </w:r>
          </w:p>
        </w:tc>
        <w:tc>
          <w:tcPr>
            <w:tcW w:w="3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Обеспечивает отказоустойчивый транспортный уровень для гарантированной и последовательной доставки юридически значимых событий всем подписчикам в Системе.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К-СДМ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Компонент «Система декларативной маршрутизации»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платформенный</w:t>
            </w:r>
          </w:p>
        </w:tc>
        <w:tc>
          <w:tcPr>
            <w:tcW w:w="3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Обеспечивает направление сообщений согласно утвержденным правилам и схемам, а также их валидацию и трансформацию на границах Системы.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К-РФД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Компонент «Регистр форматов данных»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платформенный</w:t>
            </w:r>
          </w:p>
        </w:tc>
        <w:tc>
          <w:tcPr>
            <w:tcW w:w="3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Является единым источником истины для форматов (схем) всех междоменных событий, обеспечивая исполнение контрактов данных и их принудительную валидацию.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К-СИД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Компонент «Система идентификации и доступа»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платформенный</w:t>
            </w:r>
          </w:p>
        </w:tc>
        <w:tc>
          <w:tcPr>
            <w:tcW w:w="3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Предоставляет централизованные сервисы аутентификации и авторизации на основе ролей (RBAC) для всех пользователей и компонентов Системы.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К-АЖС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Компонент «Аудитный журнал событий»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платформенный</w:t>
            </w:r>
          </w:p>
        </w:tc>
        <w:tc>
          <w:tcPr>
            <w:tcW w:w="3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Реализует криптографически защищённый, неизменяемый журнал для фиксации всех юридически значимых доменных событий, формируя основу для аудита и обеспечивая целостность данных.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К-РТК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Компонент «Реестр требований кредиторов»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судебный</w:t>
            </w:r>
          </w:p>
        </w:tc>
        <w:tc>
          <w:tcPr>
            <w:tcW w:w="3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Владелец состояния реестра задолженности. Управляет логикой установления требований, правопреемства (замены) и исключения из реестра на основании событий из К-ОС.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К-РТК-Т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«Требования кредиторов (Claims)»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судебный</w:t>
            </w:r>
          </w:p>
        </w:tc>
        <w:tc>
          <w:tcPr>
            <w:tcW w:w="3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Управляет жизненным циклом отдельного денежного требования. Источник прав голоса для собраний.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К-УАУ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Компонент «Управление Арбитражными Управляющими»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поддерживающий</w:t>
            </w:r>
          </w:p>
        </w:tc>
        <w:tc>
          <w:tcPr>
            <w:tcW w:w="3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Владелец состояния и истории полномочий АУ. Реагирует на события финализации споров из К-ОС для автоматического изменения статуса доступа и полномочий в Системе.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К-АУ-Н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«Назначение Арбитражных Управляющих»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судебный</w:t>
            </w:r>
          </w:p>
        </w:tc>
        <w:tc>
          <w:tcPr>
            <w:tcW w:w="3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Управляет связью между конкретным АУ и делом. Изолирует логику утверждения, отстранения и освобождения АУ от личности самого АУ.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К-ГСА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«Глобальный статус арбитражных управляющих»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поддерживающий</w:t>
            </w:r>
          </w:p>
        </w:tc>
        <w:tc>
          <w:tcPr>
            <w:tcW w:w="3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Событийно-ориентированный механизм управления полномочиями спецсубъектов (АУ). При получении сигнала о дисквалификации из СРО мгновенно отзывает доверенности и доступы АУ по всем его активным делам во всех инстанциях.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К-ОС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Компонент «Обособленные споры»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судебный</w:t>
            </w:r>
          </w:p>
        </w:tc>
        <w:tc>
          <w:tcPr>
            <w:tcW w:w="3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Оркестратор процессуального жизненного цикла споров в банкротстве (в т.ч. KBP45, KBP46). Управляет сроками принятия (5 дней) и вынесения актов (до 3 месяцев для разногласий), делегируя проверку прав владельцам доменов.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К-ОС-С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«Обособленные споры (Disputes)»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судебный</w:t>
            </w:r>
          </w:p>
        </w:tc>
        <w:tc>
          <w:tcPr>
            <w:tcW w:w="3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Универсальный контейнер для судебных разбирательств внутри дела о банкротстве (оспаривание сделок, жалобы, разногласия).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К-СУБ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Компонент «Субсидиарная ответственность»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судебный</w:t>
            </w:r>
          </w:p>
        </w:tc>
        <w:tc>
          <w:tcPr>
            <w:tcW w:w="3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Управляет материально-правовой логикой привлечения КДЛ к ответственности, включая проверку оснований, презумпций контроля и расчет суммы дефицита имущества.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К-КДЛ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«Реестр контролирующих должника лиц»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судебный</w:t>
            </w:r>
          </w:p>
        </w:tc>
        <w:tc>
          <w:tcPr>
            <w:tcW w:w="3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Выявление, связывание и ведение профилей лиц (КДЛ), потенциально подлежащих субсидиарной ответственности в рамках банкротства, анализ графа аффилированности. Дополняет базовый К-СУБ.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К-ОМ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Компонент «Обеспечительные меры»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судебный</w:t>
            </w:r>
          </w:p>
        </w:tc>
        <w:tc>
          <w:tcPr>
            <w:tcW w:w="3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Управляет полным жизненным циклом обеспечительных мер, включая оценку оснований (риск ущерба, соразмерность), контроль встречного обеспечения через К-УФД, замену, отмену и фиксацию оснований для судебных актов.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К-СЭ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Компонент «Судебная экспертиза»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судебный</w:t>
            </w:r>
          </w:p>
        </w:tc>
        <w:tc>
          <w:tcPr>
            <w:tcW w:w="3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Управляет процессами подбора экспертов, назначения экспертиз, контроля сроков их проведения и взаимодействия с экспертными учреждениями.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К-КС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Компонент «Корпоративные споры»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судебный</w:t>
            </w:r>
          </w:p>
        </w:tc>
        <w:tc>
          <w:tcPr>
            <w:tcW w:w="3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Управляет логикой рассмотрения споров по Главе 28.1 АПК РФ, включая проверку легитимности корпоративных решений, соблюдение устава и процедур созыва собраний.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К-КИ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«Производство по косвенным искам»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судебный</w:t>
            </w:r>
          </w:p>
        </w:tc>
        <w:tc>
          <w:tcPr>
            <w:tcW w:w="3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Управление корпоративными делами, в которых участник (акционер) выступает истцом в интересах самой корпорации. Обеспечивает разделение процессуальных прав инициатора и реального выгодоприобретателя (юрлица).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К-ИР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Компонент «Признание и приведение в исполнение иностранных решений»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судебный</w:t>
            </w:r>
          </w:p>
        </w:tc>
        <w:tc>
          <w:tcPr>
            <w:tcW w:w="3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Управляет процедурой экзекватуры актов иностранных государственных и арбитражных судов, обеспечивая проверку международного принципа взаимности и требований к легализации документов.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К-МПП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Компонент «Международная правовая помощь»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поддерживающий</w:t>
            </w:r>
          </w:p>
        </w:tc>
        <w:tc>
          <w:tcPr>
            <w:tcW w:w="3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Обеспечивает техническую и правовую поддержку взаимодействия с иностранными лицами и судами, включая выбор конвенционного порядка извещения и управление переводами.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К-ЕФРСБ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Компонент «Шлюз интеграции с ЕФРСБ»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платформенный</w:t>
            </w:r>
          </w:p>
        </w:tc>
        <w:tc>
          <w:tcPr>
            <w:tcW w:w="3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Реализует слой защиты от коррупции данных (Anti-Corruption Layer) для двустороннего взаимодействия с Единым федеральным реестром сведений о банкротстве. Обеспечивает импорт профилей должников и гарантированную доставку сообщений о судебных актах.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К-ФЭК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Компонент «Финансовый и налоговый калькулятор»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судебный</w:t>
            </w:r>
          </w:p>
        </w:tc>
        <w:tc>
          <w:tcPr>
            <w:tcW w:w="3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Специализированный математический аппарат для экономических споров. Обеспечивает расчет налогооблагаемой базы, НДС, пени по ст. 395 ГК РФ, сложных процентов, тарифов и кадастровой стоимости. Интегрируется с К-ПДА и К-КС.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К-ИРК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Компонент «Интеграция с реестрами корпоративных прав»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платформенный</w:t>
            </w:r>
          </w:p>
        </w:tc>
        <w:tc>
          <w:tcPr>
            <w:tcW w:w="3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Глубокая интеграция с ЕГРЮЛ, независимыми регистраторами и депозитариями для верификации структуры владения, полномочий и кворумов на исторические даты. Отвечает за обеспечение мгновенной (синхронной) блокировки регистрационных действий при обеспечительных мерах.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К-СР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Компонент «Управление судебными расходами»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судебный</w:t>
            </w:r>
          </w:p>
        </w:tc>
        <w:tc>
          <w:tcPr>
            <w:tcW w:w="3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Обеспечивает сложный расчет и пропорциональное распределение понесенных судебных издержек (госпошлина, гонорары представителей, оплата экспертизы, транспорт) между сторонами на основе математической степени удовлетворения иска (KBP61).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К-ГИ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Компонент «Производство по групповым искам»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судебный</w:t>
            </w:r>
          </w:p>
        </w:tc>
        <w:tc>
          <w:tcPr>
            <w:tcW w:w="3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Управляет процессом защиты прав и законных интересов группы лиц (Class Actions, гл. 28.2 АПК РФ). Поддерживает динамический реестр лиц, присоединившихся к требованию, и управляет правами «ведущего» истца.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К-ЭИЗ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Компонент «Надлежащее электронное извещение»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платформенный</w:t>
            </w:r>
          </w:p>
        </w:tc>
        <w:tc>
          <w:tcPr>
            <w:tcW w:w="3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Реализует ключевую специфику арбитража (ч. 1 ст. 123 АПК РФ) — презумпцию надлежащего извещения. Контролирует факт публикации акта в картотеке и отсчет сроков, заменяя классическую почтовую рассылку СОЮ.</w:t>
            </w:r>
          </w:p>
        </w:tc>
      </w:tr>
      <w:tr>
        <w:trPr/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К-КТ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Компонент «Коммерческая тайна и ограничение доступа»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поддерживающий</w:t>
            </w:r>
          </w:p>
        </w:tc>
        <w:tc>
          <w:tcPr>
            <w:tcW w:w="3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Обеспечивает гранулярное ограничение доступа к материалам арбитражного дела (ст. 11 АПК РФ). Позволяет скрывать конкретные документы (договоры, ноу-хау) даже от полноправных участников процесса, если они не подписали соглашение о неразглашении (NDA).</w:t>
            </w:r>
          </w:p>
        </w:tc>
      </w:tr>
    </w:tbl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Palatino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isplayBackgroundShape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color w:val="333333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keepNext w:val="false"/>
      <w:keepLines w:val="false"/>
      <w:widowControl/>
      <w:bidi w:val="0"/>
      <w:spacing w:lineRule="auto" w:line="319" w:before="0" w:after="0"/>
      <w:ind w:hanging="0" w:left="0" w:right="0"/>
      <w:jc w:val="left"/>
    </w:pPr>
    <w:rPr>
      <w:rFonts w:ascii="Arial" w:hAnsi="Arial" w:eastAsia="Arial" w:cs="Arial"/>
      <w:b w:val="false"/>
      <w:i w:val="false"/>
      <w:caps w:val="false"/>
      <w:smallCaps w:val="false"/>
      <w:strike w:val="false"/>
      <w:dstrike w:val="false"/>
      <w:color w:val="333333"/>
      <w:kern w:val="0"/>
      <w:position w:val="0"/>
      <w:sz w:val="20"/>
      <w:sz w:val="20"/>
      <w:szCs w:val="20"/>
      <w:u w:val="none"/>
      <w:vertAlign w:val="baseline"/>
      <w:lang w:val="ru-RU" w:eastAsia="zh-CN" w:bidi="hi-IN"/>
    </w:rPr>
  </w:style>
  <w:style w:type="paragraph" w:styleId="Heading1">
    <w:name w:val="Heading 1"/>
    <w:basedOn w:val="normal1"/>
    <w:next w:val="normal1"/>
    <w:qFormat/>
    <w:pPr>
      <w:keepNext w:val="false"/>
      <w:keepLines w:val="false"/>
      <w:widowControl/>
      <w:spacing w:lineRule="auto" w:line="240" w:before="0" w:after="120"/>
      <w:contextualSpacing/>
    </w:pPr>
    <w:rPr>
      <w:rFonts w:ascii="Palatino" w:hAnsi="Palatino" w:eastAsia="Palatino" w:cs="Palatino"/>
      <w:sz w:val="36"/>
    </w:rPr>
  </w:style>
  <w:style w:type="paragraph" w:styleId="Heading2">
    <w:name w:val="Heading 2"/>
    <w:basedOn w:val="normal1"/>
    <w:next w:val="normal1"/>
    <w:qFormat/>
    <w:pPr>
      <w:keepNext w:val="false"/>
      <w:keepLines w:val="false"/>
      <w:widowControl/>
      <w:spacing w:lineRule="auto" w:line="240" w:before="120" w:after="160"/>
      <w:contextualSpacing/>
    </w:pPr>
    <w:rPr>
      <w:rFonts w:ascii="Arial" w:hAnsi="Arial" w:eastAsia="Arial" w:cs="Arial"/>
      <w:b/>
      <w:sz w:val="26"/>
    </w:rPr>
  </w:style>
  <w:style w:type="paragraph" w:styleId="Heading3">
    <w:name w:val="Heading 3"/>
    <w:basedOn w:val="normal1"/>
    <w:next w:val="normal1"/>
    <w:qFormat/>
    <w:pPr>
      <w:keepNext w:val="false"/>
      <w:keepLines w:val="false"/>
      <w:widowControl/>
      <w:spacing w:lineRule="auto" w:line="240" w:before="120" w:after="160"/>
      <w:contextualSpacing/>
    </w:pPr>
    <w:rPr>
      <w:rFonts w:ascii="Arial" w:hAnsi="Arial" w:eastAsia="Arial" w:cs="Arial"/>
      <w:b/>
      <w:i/>
      <w:color w:val="666666"/>
      <w:sz w:val="24"/>
    </w:rPr>
  </w:style>
  <w:style w:type="paragraph" w:styleId="Heading4">
    <w:name w:val="Heading 4"/>
    <w:basedOn w:val="normal1"/>
    <w:next w:val="normal1"/>
    <w:qFormat/>
    <w:pPr>
      <w:keepNext w:val="false"/>
      <w:keepLines w:val="false"/>
      <w:widowControl/>
      <w:spacing w:lineRule="auto" w:line="240" w:before="120" w:after="120"/>
      <w:contextualSpacing/>
    </w:pPr>
    <w:rPr>
      <w:rFonts w:ascii="Palatino" w:hAnsi="Palatino" w:eastAsia="Palatino" w:cs="Palatino"/>
      <w:b/>
      <w:sz w:val="24"/>
    </w:rPr>
  </w:style>
  <w:style w:type="paragraph" w:styleId="Heading5">
    <w:name w:val="Heading 5"/>
    <w:basedOn w:val="normal1"/>
    <w:next w:val="normal1"/>
    <w:qFormat/>
    <w:pPr>
      <w:keepNext w:val="false"/>
      <w:keepLines w:val="false"/>
      <w:widowControl/>
      <w:spacing w:lineRule="auto" w:line="240" w:before="120" w:after="120"/>
      <w:contextualSpacing/>
    </w:pPr>
    <w:rPr>
      <w:rFonts w:ascii="Arial" w:hAnsi="Arial" w:eastAsia="Arial" w:cs="Arial"/>
      <w:b/>
      <w:sz w:val="22"/>
    </w:rPr>
  </w:style>
  <w:style w:type="paragraph" w:styleId="Heading6">
    <w:name w:val="Heading 6"/>
    <w:basedOn w:val="normal1"/>
    <w:next w:val="normal1"/>
    <w:qFormat/>
    <w:pPr>
      <w:keepNext w:val="false"/>
      <w:keepLines w:val="false"/>
      <w:widowControl/>
      <w:spacing w:lineRule="auto" w:line="240" w:before="120" w:after="120"/>
      <w:contextualSpacing/>
    </w:pPr>
    <w:rPr>
      <w:rFonts w:ascii="Arial" w:hAnsi="Arial" w:eastAsia="Arial" w:cs="Arial"/>
      <w:i/>
      <w:color w:val="666666"/>
      <w:sz w:val="22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keepNext w:val="false"/>
      <w:keepLines w:val="false"/>
      <w:widowControl/>
      <w:bidi w:val="0"/>
      <w:spacing w:lineRule="auto" w:line="319" w:before="0" w:after="0"/>
      <w:ind w:hanging="0" w:left="0" w:right="0"/>
      <w:jc w:val="left"/>
    </w:pPr>
    <w:rPr>
      <w:rFonts w:ascii="Arial" w:hAnsi="Arial" w:eastAsia="Arial" w:cs="Arial"/>
      <w:b w:val="false"/>
      <w:i w:val="false"/>
      <w:caps w:val="false"/>
      <w:smallCaps w:val="false"/>
      <w:strike w:val="false"/>
      <w:dstrike w:val="false"/>
      <w:color w:val="333333"/>
      <w:kern w:val="0"/>
      <w:position w:val="0"/>
      <w:sz w:val="20"/>
      <w:sz w:val="20"/>
      <w:szCs w:val="20"/>
      <w:u w:val="none"/>
      <w:vertAlign w:val="baseline"/>
      <w:lang w:val="ru-RU" w:eastAsia="zh-CN" w:bidi="hi-IN"/>
    </w:rPr>
  </w:style>
  <w:style w:type="paragraph" w:styleId="title">
    <w:name w:val="title"/>
    <w:basedOn w:val="normal1"/>
    <w:next w:val="normal1"/>
    <w:qFormat/>
    <w:pPr>
      <w:keepNext w:val="false"/>
      <w:keepLines w:val="false"/>
      <w:widowControl/>
      <w:spacing w:before="0" w:after="0"/>
      <w:contextualSpacing/>
    </w:pPr>
    <w:rPr>
      <w:rFonts w:ascii="Palatino" w:hAnsi="Palatino" w:eastAsia="Palatino" w:cs="Palatino"/>
      <w:sz w:val="60"/>
    </w:rPr>
  </w:style>
  <w:style w:type="paragraph" w:styleId="subtitle">
    <w:name w:val="subtitle"/>
    <w:basedOn w:val="normal1"/>
    <w:next w:val="normal1"/>
    <w:qFormat/>
    <w:pPr>
      <w:keepNext w:val="false"/>
      <w:keepLines w:val="false"/>
      <w:widowControl/>
      <w:spacing w:lineRule="auto" w:line="240" w:before="60" w:after="0"/>
      <w:contextualSpacing/>
    </w:pPr>
    <w:rPr>
      <w:rFonts w:ascii="Arial" w:hAnsi="Arial" w:eastAsia="Arial" w:cs="Arial"/>
      <w:sz w:val="28"/>
    </w:rPr>
  </w:style>
  <w:style w:type="table" w:default="1" w:styleId="TableNormal">
    <w:name w:val="Table Normal"/>
    <w:pPr>
      <w:spacing w:before="0" w:after="0" w:line="459" w:lineRule="auto"/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13</TotalTime>
  <Application>LibreOffice/24.2.7.2$Linux_X86_64 LibreOffice_project/420$Build-2</Application>
  <AppVersion>15.0000</AppVersion>
  <Pages>15</Pages>
  <Words>2015</Words>
  <Characters>15788</Characters>
  <CharactersWithSpaces>17496</CharactersWithSpaces>
  <Paragraphs>309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dcterms:modified xsi:type="dcterms:W3CDTF">2026-04-27T06:18:57Z</dcterms:modified>
  <cp:revision>1</cp:revision>
  <dc:subject/>
  <dc:title>reestr_komponentov.docx</dc:title>
</cp:coreProperties>
</file>