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9" w:after="49"/>
        <w:rPr/>
      </w:pPr>
      <w:bookmarkStart w:id="0" w:name="_GoBack"/>
      <w:bookmarkEnd w:id="0"/>
      <w:r>
        <w:rPr/>
        <w:t>Описание ОБП16: "Информирование работников суда об изменениях в законодательстве РФ и формировании судебной практики федеральных судов общей юрисдикции "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1. НПА</w:t>
      </w:r>
    </w:p>
    <w:tbl>
      <w:tblPr>
        <w:tblW w:w="14309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4309"/>
      </w:tblGrid>
      <w:tr>
        <w:trPr>
          <w:tblHeader w:val="true"/>
          <w:cantSplit w:val="true"/>
        </w:trPr>
        <w:tc>
          <w:tcPr>
            <w:tcW w:w="1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1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процессе не фигурируют НПА. </w:t>
            </w:r>
          </w:p>
        </w:tc>
      </w:tr>
    </w:tbl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2. Схема процесса</w:t>
      </w:r>
    </w:p>
    <w:p>
      <w:pPr>
        <w:pStyle w:val="NormalWeb"/>
        <w:spacing w:before="49" w:after="49"/>
        <w:rPr>
          <w:sz w:val="24"/>
          <w:szCs w:val="24"/>
        </w:rPr>
      </w:pPr>
      <w:r>
        <w:rPr>
          <w:sz w:val="24"/>
          <w:szCs w:val="24"/>
        </w:rPr>
        <w:t>BPMN-файл: OBP16_informirovanie_rabotnikov_suda_ob_izmeneniyah_v_zakonodatelstve_formirovanii_sudebnoy_praktiki_bpmn_</w:t>
      </w:r>
      <w:r>
        <w:rPr>
          <w:sz w:val="24"/>
          <w:szCs w:val="24"/>
          <w:lang w:val="en-US"/>
        </w:rPr>
        <w:t>tobe</w:t>
      </w:r>
      <w:r>
        <w:rPr>
          <w:sz w:val="24"/>
          <w:szCs w:val="24"/>
        </w:rPr>
        <w:t>.bpmn</w:t>
      </w:r>
    </w:p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3. Описание схемы бизнес-процессов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37"/>
        <w:gridCol w:w="1336"/>
        <w:gridCol w:w="1338"/>
        <w:gridCol w:w="1336"/>
        <w:gridCol w:w="1338"/>
        <w:gridCol w:w="1336"/>
        <w:gridCol w:w="2179"/>
      </w:tblGrid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 </w:t>
            </w:r>
            <w:r>
              <w:rPr>
                <w:b/>
                <w:sz w:val="24"/>
                <w:szCs w:val="24"/>
              </w:rPr>
              <w:t>действия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Роль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Входящие материалы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Исходящие материалы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шага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 в закон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узнает о внесении изменений в НПА.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Уведомить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направляет уведомление сотруднику об изменениях в законе.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__, Изменения в законе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Ознакомиться с изменениями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отдела обобщения судебной практики и анализа судебной статистики </w:t>
            </w:r>
            <w:r>
              <w:rPr>
                <w:sz w:val="24"/>
                <w:szCs w:val="24"/>
                <w:lang w:val="ru-RU"/>
              </w:rPr>
              <w:t>знакомится с изменениями в законе.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 ли информирование работников суда?. Эксклюзивный </w:t>
            </w:r>
            <w:r>
              <w:rPr>
                <w:sz w:val="24"/>
                <w:szCs w:val="24"/>
              </w:rPr>
              <w:t>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отдела обобщения судебной практики и анализа судебной статистики </w:t>
            </w:r>
            <w:r>
              <w:rPr>
                <w:sz w:val="24"/>
                <w:szCs w:val="24"/>
              </w:rPr>
              <w:t>решает вопрос о необходимости информирования работников об изменениях.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«Да» - переход к шагу 4,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Ели «Нет» - переход к шагу 3</w:t>
            </w:r>
          </w:p>
        </w:tc>
      </w:tr>
      <w:tr>
        <w:trPr/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процесса.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Информирование работников не осуществлялось. 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Уведомление об изменениях в законах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Создать уведомление об изменениях в законах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создает уведомление для сотрудников о произошедших изменениях в законодательстве.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обязательно?. Эксклюзивный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решает есть ли необходимость обязательного ознакомления всех сотрудников под роспись в связи с важностью изменений в НПА, напрямую влияющих на работу и принятия решений судьей.</w:t>
              <w:br/>
              <w:t>Если «Да», то переход к шагу 6</w:t>
              <w:br/>
              <w:t>Если «Нет», то переход к шагу 7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Установить обязательность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отдела обобщения судебной практики и анализа судебной статистики устанавливает обязательность ознакомления с изменениями в НПА. Для этого </w:t>
            </w:r>
            <w:r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уведомлени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составляется список сотрудников, которых необходимо ознакомить с изменением и каждый сотрудник при ознакомлении должен </w:t>
            </w:r>
            <w:r>
              <w:rPr>
                <w:sz w:val="24"/>
                <w:szCs w:val="24"/>
              </w:rPr>
              <w:t>подписаться</w:t>
            </w:r>
            <w:r>
              <w:rPr>
                <w:sz w:val="24"/>
                <w:szCs w:val="24"/>
              </w:rPr>
              <w:t xml:space="preserve"> о том, что с изменениями он ознакомлен.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Закрывающий шлюз для шага 5 процесса.. 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Требуется ли опубликовать измененный закон?. Эксклюзивный 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выясняет требуется ли опубликовать измененный закон в файловом хранилище или на внутреннем портале суда.</w:t>
              <w:br/>
              <w:t xml:space="preserve">Если «Да», то переход к шагу 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br/>
              <w:t>Если «Нет», то переход к шагу10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Опубликовать измененный закон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отдела обобщения судебной практики и анализа судебной статистики выполняют задачу </w:t>
            </w:r>
            <w:r>
              <w:rPr>
                <w:sz w:val="24"/>
                <w:szCs w:val="24"/>
              </w:rPr>
              <w:t>публикует измененный закон в файловом хранилище или на внутреннем портале.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Закрывающий шлюз для шага 8 процесса.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Уведомление об изменениях в законе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Направить уведомление сотрудникам суда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 xml:space="preserve"> направляет созданное уведомление об изменении в законе всем сотрудникам суда, которых необходимо ознакомить с изменениями в НПА.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Необходимо сформировать судебную практику в связи с внесенными изменениями?. Эксклюзивный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решает, необходимо ли формирование судебной практики внутри суда в связи с внесенными изменениями в НПА.</w:t>
              <w:br/>
              <w:t>Если «Да», то переход к шагу 14</w:t>
              <w:br/>
              <w:t>Если «Нет», то переход к шагу 13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Изменения в законодательстве доведены до сотрудников без формирования практики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 информирование работников суда об изменениях в НПА. Изменения в законодательстве доведены до сотрудников без формирования практики, так как внесенные изменения не требуют выработки единого подхода к его применению, однозначны и понятны.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Организовать собрание научно-консультационного совета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организует собрание научно-консультационного совета в связи с тем, что изменения в законодательстве требуют выработки единого подхода к его применению, так как не однозначны и могут возникнуть разночтения в его применении. В таких случаях научно-консультационный совет вырабатывает единый подход к применению, который будет действовать до официальных разъяснений, указанных в Обзорах практики, Постановлениях пленумов.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Обсудить внесенные изменения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Собрание научно-консультационного совета обсуждает изменения НПА и вносит предложения по формированию единой практики применения, а сотрудник отдела обобщения судебной практики и анализа судебной статистики фиксирует ход обсуждения.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практику суда в связи с внесенными изменениями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и научно-консультационный совет формируют практику суда в связи с внесенными изменениями.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собрания научно-консультационного совета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Составить протокол собрания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 составляет протокол собрания научно-консультационного совета, которую подпишут участники совета и сотрудник отдела обобщения судебной практики и анализа судебной статистики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Необходимо довести выработанную практику до всех сотрудников суда?. Эксклюзивный 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отдела обобщения судебной практики и анализа судебной статистики решает есть ли необходимость довести выработанную практику до всех сотрудников суда? </w:t>
              <w:br/>
              <w:t>Если «Да», то переход к шагу 19</w:t>
              <w:br/>
              <w:t>Если «Нет», то переход к шагу 20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</w:rPr>
              <w:t>окумент, содержащий практику применения изменений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Направить документ, содержащий практику применения изменений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отдела обобщения судебной практики и анализа судебной статистики направляет всем сотрудникам документ </w:t>
            </w:r>
            <w:r>
              <w:rPr>
                <w:sz w:val="24"/>
                <w:szCs w:val="24"/>
              </w:rPr>
              <w:t>в электронном виде</w:t>
            </w:r>
            <w:r>
              <w:rPr>
                <w:sz w:val="24"/>
                <w:szCs w:val="24"/>
              </w:rPr>
              <w:t>, содержащий практику применения изменений, внесенных в законодательство.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Закрывающий шлюз для шага 18 процесса.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Изменения в законодательстве доведены до сотрудников суда. Сформирована судебная практика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 информирование работников суда об изменениях в НПА. Изменения в законодательстве доведены до сотрудников суда. Сформирована судебная практика для единообразного применения закона в суде до появления официальных разъяснений от ВАС РФ или ВС РФ.</w:t>
            </w:r>
          </w:p>
        </w:tc>
      </w:tr>
    </w:tbl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4. Пользователи и роли</w:t>
      </w:r>
    </w:p>
    <w:tbl>
      <w:tblPr>
        <w:tblW w:w="6288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2628"/>
        <w:gridCol w:w="3660"/>
      </w:tblGrid>
      <w:tr>
        <w:trPr>
          <w:tblHeader w:val="true"/>
          <w:cantSplit w:val="true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Выполняемые действия/функция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изменениями в законодательстве; создание уведомлений об изменениях в законе; установление признака обязательности ознакомления для уведомления; публикация измененных законов, публикация уведомлений, организация научно-консультационного совета, составление протокола собрания, доведение выработанной практики по вопросам до сотрудников суда.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36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уведомлений сотрудникам суда</w:t>
            </w:r>
          </w:p>
        </w:tc>
      </w:tr>
    </w:tbl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5. Реестр справочников</w:t>
      </w:r>
    </w:p>
    <w:p>
      <w:pPr>
        <w:pStyle w:val="NormalWeb"/>
        <w:spacing w:before="49" w:after="49"/>
        <w:rPr/>
      </w:pPr>
      <w:r>
        <w:rPr>
          <w:color w:val="000000"/>
          <w:sz w:val="24"/>
          <w:szCs w:val="24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  <w:sz w:val="24"/>
          <w:szCs w:val="24"/>
        </w:rPr>
        <w:t>Справочники (классификаторы) ПК САД</w:t>
      </w:r>
    </w:p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6. Процессуальные документы</w:t>
      </w:r>
    </w:p>
    <w:p>
      <w:pPr>
        <w:pStyle w:val="Heading3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6.1. Документы рассмотрения</w:t>
      </w:r>
    </w:p>
    <w:tbl>
      <w:tblPr>
        <w:tblW w:w="11076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1920"/>
        <w:gridCol w:w="3922"/>
        <w:gridCol w:w="4269"/>
        <w:gridCol w:w="485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 xml:space="preserve">№ </w:t>
            </w:r>
            <w:r>
              <w:rPr>
                <w:rStyle w:val="Strong"/>
                <w:sz w:val="24"/>
                <w:szCs w:val="24"/>
              </w:rPr>
              <w:t>п/п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Вид документа</w:t>
            </w:r>
          </w:p>
        </w:tc>
        <w:tc>
          <w:tcPr>
            <w:tcW w:w="3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Наименование документа</w:t>
            </w:r>
          </w:p>
        </w:tc>
        <w:tc>
          <w:tcPr>
            <w:tcW w:w="4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Форма (печатная/устная)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</w:t>
            </w:r>
          </w:p>
        </w:tc>
        <w:tc>
          <w:tcPr>
            <w:tcW w:w="3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Измененный НПА</w:t>
            </w:r>
          </w:p>
        </w:tc>
        <w:tc>
          <w:tcPr>
            <w:tcW w:w="4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</w:t>
            </w:r>
            <w:r>
              <w:rPr>
                <w:sz w:val="24"/>
                <w:szCs w:val="24"/>
              </w:rPr>
              <w:t>лектронная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Уведомление</w:t>
            </w:r>
          </w:p>
        </w:tc>
        <w:tc>
          <w:tcPr>
            <w:tcW w:w="3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Уведомление об изменениях в законах</w:t>
            </w:r>
          </w:p>
        </w:tc>
        <w:tc>
          <w:tcPr>
            <w:tcW w:w="4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Электронная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</w:t>
            </w:r>
          </w:p>
        </w:tc>
        <w:tc>
          <w:tcPr>
            <w:tcW w:w="3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собрания научно-консультационного совета</w:t>
            </w:r>
          </w:p>
        </w:tc>
        <w:tc>
          <w:tcPr>
            <w:tcW w:w="4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Электронная 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</w:tbl>
    <w:p>
      <w:pPr>
        <w:pStyle w:val="Heading3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6.2. Судебные акты</w:t>
      </w:r>
    </w:p>
    <w:tbl>
      <w:tblPr>
        <w:tblW w:w="28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80"/>
        <w:gridCol w:w="479"/>
        <w:gridCol w:w="480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 xml:space="preserve">№ </w:t>
            </w:r>
            <w:r>
              <w:rPr>
                <w:rStyle w:val="Strong"/>
                <w:sz w:val="24"/>
                <w:szCs w:val="24"/>
              </w:rPr>
              <w:t>п/п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Вид документа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Наименование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Форма (протокольное/отдельный СА)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Обжалуется (да/нет)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Образец / ссылка на облако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</w:tbl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7. Межведомственное взаимодействие</w:t>
      </w:r>
    </w:p>
    <w:p>
      <w:pPr>
        <w:pStyle w:val="NormalWeb"/>
        <w:spacing w:before="49" w:after="49"/>
        <w:rPr>
          <w:sz w:val="24"/>
          <w:szCs w:val="24"/>
        </w:rPr>
      </w:pPr>
      <w:r>
        <w:rPr>
          <w:sz w:val="24"/>
          <w:szCs w:val="24"/>
        </w:rPr>
        <w:t>Межведомственное взаимодействие не происходит.</w:t>
      </w:r>
    </w:p>
    <w:p>
      <w:pPr>
        <w:pStyle w:val="Heading2"/>
        <w:spacing w:before="49" w:after="4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8. Информация о сроках</w:t>
      </w:r>
    </w:p>
    <w:tbl>
      <w:tblPr>
        <w:tblW w:w="1526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79"/>
        <w:gridCol w:w="4693"/>
        <w:gridCol w:w="6012"/>
        <w:gridCol w:w="4080"/>
      </w:tblGrid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Шаг процесса</w:t>
            </w:r>
          </w:p>
        </w:tc>
        <w:tc>
          <w:tcPr>
            <w:tcW w:w="4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Описание действия, для которого установлен срок</w:t>
            </w:r>
          </w:p>
        </w:tc>
        <w:tc>
          <w:tcPr>
            <w:tcW w:w="6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Срок (год, месяц, день)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Каким правовым актом установлен (при наличии)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6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</w:tbl>
    <w:p>
      <w:pPr>
        <w:pStyle w:val="NormalWeb"/>
        <w:spacing w:before="49" w:after="49"/>
        <w:rPr>
          <w:sz w:val="24"/>
          <w:szCs w:val="24"/>
        </w:rPr>
      </w:pPr>
      <w:r>
        <w:rPr>
          <w:sz w:val="24"/>
          <w:szCs w:val="24"/>
        </w:rPr>
        <w:t> 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Aptos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eastAsiaTheme="minorEastAsia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rFonts w:ascii="Times New Roman" w:hAnsi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locked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uiPriority w:val="99"/>
    <w:semiHidden/>
    <w:qFormat/>
    <w:pPr>
      <w:spacing w:beforeAutospacing="1" w:afterAutospacing="1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LibreOffice/7.6.4.1$Windows_X86_64 LibreOffice_project/e19e193f88cd6c0525a17fb7a176ed8e6a3e2aa1</Application>
  <AppVersion>15.0000</AppVersion>
  <DocSecurity>4</DocSecurity>
  <Pages>1</Pages>
  <Words>1180</Words>
  <Characters>8210</Characters>
  <CharactersWithSpaces>9214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2025-11-19T10:07:00Z</dcterms:created>
  <dc:creator>Гончар Ксения Викторовна</dc:creator>
  <dc:description/>
  <dc:language>ru-RU</dc:language>
  <cp:lastModifiedBy/>
  <dcterms:modified xsi:type="dcterms:W3CDTF">2025-11-21T10:54:12Z</dcterms:modified>
  <cp:revision>3</cp:revision>
  <dc:subject/>
  <dc:title>Описание ОБП9: "Регистрация и учет обращений граждан, государственных органов, юридических лиц и иных заявителей"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