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Описание ТБП104 "Проверить соответствие градообразующей организации" TOBE</w:t>
      </w:r>
    </w:p>
    <w:p>
      <w:pPr>
        <w:pStyle w:val="Heading2"/>
        <w:bidi w:val="0"/>
        <w:jc w:val="start"/>
        <w:rPr/>
      </w:pPr>
      <w:r>
        <w:rPr/>
        <w:t>1. Нормативно-правовые акты, регулирующие процесс</w:t>
      </w:r>
    </w:p>
    <w:tbl>
      <w:tblPr>
        <w:tblW w:w="8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638"/>
      </w:tblGrid>
      <w:tr>
        <w:trPr>
          <w:tblHeader w:val="true"/>
        </w:trPr>
        <w:tc>
          <w:tcPr>
            <w:tcW w:w="8638" w:type="dxa"/>
            <w:tcBorders/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/>
            </w:pPr>
            <w:r>
              <w:rPr/>
              <w:t>Название НПА с реквизитами</w:t>
            </w:r>
          </w:p>
        </w:tc>
      </w:tr>
      <w:tr>
        <w:trPr/>
        <w:tc>
          <w:tcPr>
            <w:tcW w:w="863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Федеральный закон от 26.10.2002 № 127-ФЗ "О несостоятельности (банкротстве)"</w:t>
            </w:r>
          </w:p>
        </w:tc>
      </w:tr>
    </w:tbl>
    <w:p>
      <w:pPr>
        <w:pStyle w:val="Heading2"/>
        <w:bidi w:val="0"/>
        <w:jc w:val="start"/>
        <w:rPr/>
      </w:pPr>
      <w:r>
        <w:rPr/>
        <w:t>2. Схема процесса</w:t>
      </w:r>
    </w:p>
    <w:p>
      <w:pPr>
        <w:pStyle w:val="BodyText"/>
        <w:bidi w:val="0"/>
        <w:jc w:val="start"/>
        <w:rPr/>
      </w:pPr>
      <w:r>
        <w:rPr/>
        <w:t>BPMN-файл: "TBP104_proverit_sootvetstvie_gradoobrazuyuschey_org_bpmn_tobe.bpmn"</w:t>
      </w:r>
    </w:p>
    <w:p>
      <w:pPr>
        <w:pStyle w:val="Heading2"/>
        <w:bidi w:val="0"/>
        <w:jc w:val="start"/>
        <w:rPr/>
      </w:pPr>
      <w:r>
        <w:rPr/>
        <w:t>3. Описание схемы бизнес-процессов</w:t>
      </w:r>
    </w:p>
    <w:tbl>
      <w:tblPr>
        <w:tblW w:w="2200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29"/>
        <w:gridCol w:w="1959"/>
        <w:gridCol w:w="2794"/>
        <w:gridCol w:w="2479"/>
        <w:gridCol w:w="3471"/>
        <w:gridCol w:w="1680"/>
        <w:gridCol w:w="8197"/>
      </w:tblGrid>
      <w:tr>
        <w:trPr>
          <w:tblHeader w:val="true"/>
        </w:trPr>
        <w:tc>
          <w:tcPr>
            <w:tcW w:w="1429" w:type="dxa"/>
            <w:tcBorders/>
            <w:vAlign w:val="center"/>
          </w:tcPr>
          <w:p>
            <w:pPr>
              <w:pStyle w:val="Style15"/>
              <w:suppressLineNumbers/>
              <w:bidi w:val="0"/>
              <w:jc w:val="center"/>
              <w:rPr/>
            </w:pPr>
            <w:r>
              <w:rPr/>
              <w:t xml:space="preserve">№ </w:t>
            </w:r>
            <w:r>
              <w:rPr/>
              <w:t>действия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Style15"/>
              <w:suppressLineNumbers/>
              <w:bidi w:val="0"/>
              <w:jc w:val="center"/>
              <w:rPr/>
            </w:pPr>
            <w:r>
              <w:rPr/>
              <w:t>Роль (актор на конкретном шаге, в т.ч. Система)</w:t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Style15"/>
              <w:suppressLineNumbers/>
              <w:bidi w:val="0"/>
              <w:jc w:val="center"/>
              <w:rPr/>
            </w:pPr>
            <w:r>
              <w:rPr/>
              <w:t>Входящие материалы (объект/данные, инициирующие шаги)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Style15"/>
              <w:suppressLineNumbers/>
              <w:bidi w:val="0"/>
              <w:jc w:val="center"/>
              <w:rPr/>
            </w:pPr>
            <w:r>
              <w:rPr/>
              <w:t>Исходящие материалы (объект, являющийся результатом действия)</w:t>
            </w:r>
          </w:p>
        </w:tc>
        <w:tc>
          <w:tcPr>
            <w:tcW w:w="3471" w:type="dxa"/>
            <w:tcBorders/>
            <w:vAlign w:val="center"/>
          </w:tcPr>
          <w:p>
            <w:pPr>
              <w:pStyle w:val="Style15"/>
              <w:suppressLineNumbers/>
              <w:bidi w:val="0"/>
              <w:jc w:val="center"/>
              <w:rPr/>
            </w:pPr>
            <w:r>
              <w:rPr/>
              <w:t>Наименование шага процесса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Style15"/>
              <w:suppressLineNumbers/>
              <w:bidi w:val="0"/>
              <w:jc w:val="center"/>
              <w:rPr/>
            </w:pPr>
            <w:r>
              <w:rPr/>
              <w:t>Срок (срок и шаг с которого считается срок)</w:t>
            </w:r>
          </w:p>
        </w:tc>
        <w:tc>
          <w:tcPr>
            <w:tcW w:w="8197" w:type="dxa"/>
            <w:tcBorders/>
            <w:vAlign w:val="center"/>
          </w:tcPr>
          <w:p>
            <w:pPr>
              <w:pStyle w:val="Style15"/>
              <w:bidi w:val="0"/>
              <w:ind w:hanging="0" w:start="0" w:end="0"/>
              <w:rPr/>
            </w:pPr>
            <w:r>
              <w:rPr/>
              <w:t>Описание процесса (актор и описание)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0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Необходимость проверки соответствия признакам градообразующей организации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3471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Возникла необходимость проверить ЮЛ на соответствие признакам  градообразующей организации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8197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Судья принимает решение о необходимости проверки соответствия юридического лица признакам градообразующей организации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1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Система</w:t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Данные о численности работников ЮЛ</w:t>
            </w:r>
          </w:p>
        </w:tc>
        <w:tc>
          <w:tcPr>
            <w:tcW w:w="3471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Установить численность работников ЮЛ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8197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Система</w:t>
            </w:r>
            <w:r>
              <w:rPr/>
              <w:t xml:space="preserve"> устанавливает численность работников юридического лица на основе имеющихся документов. Согласно ст. 169 Федеральный закон от 26.10.2002 N 127-ФЗ: положения, предусмотренные настоящим параграфом, применяются также к иным организациям, численность работников которых превышает пять тысяч человек.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2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Данные о численности работников ЮЛ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3471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Численность работников превышает 5000 человек? Эксклюзивный шлюз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8197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шлюз. </w:t>
            </w:r>
          </w:p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 xml:space="preserve">Да: переход к шагу 3 </w:t>
            </w:r>
          </w:p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Нет: переход к шагу 4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3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3471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ЮЛ соответствует признакам градообразующей организации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8197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Судья принимает решение о соответствии юридического лица признакам градообразующей организации при численности работников свыше 5000 человек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4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Система</w:t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3471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Найти среднесписочную численность работников МО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8197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Система</w:t>
            </w:r>
            <w:r>
              <w:rPr/>
              <w:t xml:space="preserve"> </w:t>
            </w:r>
            <w:r>
              <w:rPr/>
              <w:t>получает</w:t>
            </w:r>
            <w:r>
              <w:rPr/>
              <w:t xml:space="preserve"> данные о среднесписочной численности работников муниципального образования </w:t>
            </w:r>
            <w:r>
              <w:rPr/>
              <w:t>посредством интеграции с</w:t>
            </w:r>
            <w:r>
              <w:rPr/>
              <w:t xml:space="preserve"> Росстат</w:t>
            </w:r>
            <w:r>
              <w:rPr/>
              <w:t>ом.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5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Система</w:t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Данные о численности работников ЮЛ и МО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Результат сравнения</w:t>
            </w:r>
          </w:p>
        </w:tc>
        <w:tc>
          <w:tcPr>
            <w:tcW w:w="3471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Сравнить численность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8197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Система</w:t>
            </w:r>
            <w:r>
              <w:rPr/>
              <w:t xml:space="preserve"> сравнивает численность работников юридического лица с численностью работающего населения муниципального образования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6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Результат сравнения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Решение о соответствии критериям</w:t>
            </w:r>
          </w:p>
        </w:tc>
        <w:tc>
          <w:tcPr>
            <w:tcW w:w="3471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Численность работников составляет не менее двадцати пяти процентов численности работающего населения? Эксклюзивный шлюз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8197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шлюз. </w:t>
            </w:r>
          </w:p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 xml:space="preserve">Если </w:t>
            </w:r>
            <w:r>
              <w:rPr/>
              <w:t xml:space="preserve">Да: переход к шагу 7 </w:t>
            </w:r>
          </w:p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 xml:space="preserve">Если </w:t>
            </w:r>
            <w:r>
              <w:rPr/>
              <w:t>Нет: переход к шагу 8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7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3471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ЮЛ соответствует признакам градообразующей организации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8197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Судья принимает решение о соответствии юридического лица признакам градообразующей организации при выполнении критерия 25% Согласно ст. 169 Федеральный закон от 26.10.2002 N 127-ФЗ: Для целей настоящего Федерального закона градообразующими организациями признаются юридические лица, численность работников которых составляет не менее двадцати пяти процентов численности работающего населения соответствующего населенного пункта.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8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3471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Суду известны данные о соответствии признакам градообразующей организации? Эксклюзивный шлюз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8197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шлюз. </w:t>
            </w:r>
          </w:p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 xml:space="preserve">Если </w:t>
            </w:r>
            <w:r>
              <w:rPr/>
              <w:t xml:space="preserve">Да: переход к шагу 10 </w:t>
            </w:r>
          </w:p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 xml:space="preserve">Если </w:t>
            </w:r>
            <w:r>
              <w:rPr/>
              <w:t>Нет: переход к шагу 9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9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Решение о несоответствии</w:t>
            </w:r>
          </w:p>
        </w:tc>
        <w:tc>
          <w:tcPr>
            <w:tcW w:w="3471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ЮЛ не соответствует признакам градообразующей организации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8197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Судья принимает решение о несоответствии юридического лица признакам градообразующей организации при отсутствии данных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10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Решение о необходимости уточнения</w:t>
            </w:r>
          </w:p>
        </w:tc>
        <w:tc>
          <w:tcPr>
            <w:tcW w:w="3471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Необходимо уточнить данные? Эксклюзивный шлюз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8197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Судья проверяет, необходима ли дополнительная информация для решения вопроса.</w:t>
            </w:r>
          </w:p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Если</w:t>
            </w:r>
            <w:r>
              <w:rPr/>
              <w:t xml:space="preserve"> Да: переход к шагу 11 </w:t>
            </w:r>
          </w:p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 xml:space="preserve">Если </w:t>
            </w:r>
            <w:r>
              <w:rPr/>
              <w:t>Нет: переход к шагу 16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11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Помощник судьи</w:t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Запрос в ведомство</w:t>
            </w:r>
          </w:p>
        </w:tc>
        <w:tc>
          <w:tcPr>
            <w:tcW w:w="3471" w:type="dxa"/>
            <w:tcBorders/>
            <w:vAlign w:val="center"/>
          </w:tcPr>
          <w:p>
            <w:r>
              <w:t>ТБП23.Направить запрос в ведомство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8197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«Направить запрос в ведомство».</w:t>
            </w:r>
          </w:p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 xml:space="preserve">Помощник судьи суда арбитражного </w:t>
            </w:r>
            <w:r>
              <w:rPr/>
              <w:t>инициирует в системе направление</w:t>
            </w:r>
            <w:r>
              <w:rPr/>
              <w:t xml:space="preserve"> запрос</w:t>
            </w:r>
            <w:r>
              <w:rPr/>
              <w:t>а</w:t>
            </w:r>
            <w:r>
              <w:rPr/>
              <w:t xml:space="preserve"> в соответствующее ведомство для получения дополнительной информации о соответствии признакам градообразующей организации.</w:t>
            </w:r>
          </w:p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Запрос формируется системой автоматически по форме и направляется в ведомство посредством настроенной интеграции. Получение и обработка системой ответа — внутри процесса.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12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Помощник судьи</w:t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3471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Параллельный шлюз.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8197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Параллельный шлюз.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13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Система</w:t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Ответ от ведомства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Материалы дела</w:t>
            </w:r>
          </w:p>
        </w:tc>
        <w:tc>
          <w:tcPr>
            <w:tcW w:w="3471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Приобщить к материалам дела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8197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Система</w:t>
            </w:r>
            <w:r>
              <w:rPr/>
              <w:t xml:space="preserve"> приобщает полученную от ведомства информацию к материалам дела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14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Помощник судьи</w:t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3471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 xml:space="preserve">Завершение процесса. </w:t>
            </w:r>
            <w:r>
              <w:rPr/>
              <w:t>Материалы приобщены к делу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8197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 xml:space="preserve">Завершение процесса. </w:t>
            </w:r>
            <w:r>
              <w:rPr/>
              <w:t>Материалы приобщены к делу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15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Система</w:t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Уведомление о поступлении ответа на запрос</w:t>
            </w:r>
          </w:p>
        </w:tc>
        <w:tc>
          <w:tcPr>
            <w:tcW w:w="3471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Уведомить судью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8197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Система уведомляет судью о полученном запросе от ведомства.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16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3471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Закрывающий шлюз.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8197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Эксклюзивный закрывающий шлюз, объединяющий потоки из 10-го, 15-го шага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17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Решение о соответствии</w:t>
            </w:r>
          </w:p>
        </w:tc>
        <w:tc>
          <w:tcPr>
            <w:tcW w:w="3471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Решить вопрос о  соответствии градообразующей организации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8197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Судья на основе всей имеющейся информации принимает решение о соответствии юридического лица признакам градообразующей организации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18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3471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 </w:t>
            </w:r>
            <w:r>
              <w:rPr/>
              <w:t xml:space="preserve">ЮЛ является градообразующей организацией? </w:t>
            </w:r>
          </w:p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Эксклюзивный шлюз.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8197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шлюз. </w:t>
            </w:r>
          </w:p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 xml:space="preserve">Если </w:t>
            </w:r>
            <w:r>
              <w:rPr/>
              <w:t xml:space="preserve">Да: переход к шагу 20 </w:t>
            </w:r>
          </w:p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 xml:space="preserve">Если </w:t>
            </w:r>
            <w:r>
              <w:rPr/>
              <w:t>Нет: переход к шагу 19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19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3471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ЮЛ не соответствует признакам градообразующей организации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8197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Судья принимает финальное решение о несоответствии юридического лица признакам градообразующей организации</w:t>
            </w:r>
          </w:p>
        </w:tc>
      </w:tr>
      <w:tr>
        <w:trPr/>
        <w:tc>
          <w:tcPr>
            <w:tcW w:w="142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20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3471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ЮЛ соответствует признакам градообразующей организации.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Style14"/>
              <w:bidi w:val="0"/>
              <w:ind w:hanging="0" w:start="0" w:end="0"/>
              <w:jc w:val="start"/>
              <w:rPr/>
            </w:pPr>
            <w:r>
              <w:rPr/>
              <w:t>—</w:t>
            </w:r>
          </w:p>
        </w:tc>
        <w:tc>
          <w:tcPr>
            <w:tcW w:w="8197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Судья принимает финальное решение о соответствии юридического лица признакам градообразующей организации</w:t>
            </w:r>
          </w:p>
        </w:tc>
      </w:tr>
    </w:tbl>
    <w:p>
      <w:pPr>
        <w:pStyle w:val="Heading2"/>
        <w:bidi w:val="0"/>
        <w:jc w:val="start"/>
        <w:rPr/>
      </w:pPr>
      <w:r>
        <w:rPr/>
        <w:t>4. Пользователи и роли</w:t>
      </w:r>
    </w:p>
    <w:tbl>
      <w:tblPr>
        <w:tblW w:w="2179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418"/>
        <w:gridCol w:w="14375"/>
      </w:tblGrid>
      <w:tr>
        <w:trPr>
          <w:tblHeader w:val="true"/>
        </w:trPr>
        <w:tc>
          <w:tcPr>
            <w:tcW w:w="7418" w:type="dxa"/>
            <w:tcBorders/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/>
            </w:pPr>
            <w:r>
              <w:rPr/>
              <w:t>Бизнес-роль (с указанием суда/инстанции/иного административного органа)</w:t>
            </w:r>
          </w:p>
        </w:tc>
        <w:tc>
          <w:tcPr>
            <w:tcW w:w="14375" w:type="dxa"/>
            <w:tcBorders/>
            <w:vAlign w:val="center"/>
          </w:tcPr>
          <w:p>
            <w:pPr>
              <w:pStyle w:val="Style15"/>
              <w:bidi w:val="0"/>
              <w:jc w:val="start"/>
              <w:rPr/>
            </w:pPr>
            <w:r>
              <w:rPr/>
              <w:t>Выполняемые действия/функция</w:t>
            </w:r>
          </w:p>
        </w:tc>
      </w:tr>
      <w:tr>
        <w:trPr/>
        <w:tc>
          <w:tcPr>
            <w:tcW w:w="741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4375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Принятие решений о соответствии признакам градообразующей организации, установление численности работников, анализ данных, принятие финальных решений</w:t>
            </w:r>
          </w:p>
        </w:tc>
      </w:tr>
      <w:tr>
        <w:trPr/>
        <w:tc>
          <w:tcPr>
            <w:tcW w:w="741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Помощник судьи суда арбитражного</w:t>
            </w:r>
          </w:p>
        </w:tc>
        <w:tc>
          <w:tcPr>
            <w:tcW w:w="14375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Направление запросов в ведомства, приобщение документов к материалам дела, информирование судьи о статусе выполнения запросов</w:t>
            </w:r>
          </w:p>
        </w:tc>
      </w:tr>
      <w:tr>
        <w:trPr/>
        <w:tc>
          <w:tcPr>
            <w:tcW w:w="7418" w:type="dxa"/>
            <w:tcBorders/>
            <w:vAlign w:val="center"/>
          </w:tcPr>
          <w:p>
            <w:pPr>
              <w:pStyle w:val="Style14"/>
              <w:bidi w:val="0"/>
              <w:jc w:val="start"/>
              <w:rPr/>
            </w:pPr>
            <w:r>
              <w:rPr/>
              <w:t>Система</w:t>
            </w:r>
          </w:p>
        </w:tc>
        <w:tc>
          <w:tcPr>
            <w:tcW w:w="14375" w:type="dxa"/>
            <w:tcBorders/>
            <w:vAlign w:val="center"/>
          </w:tcPr>
          <w:p>
            <w:pPr>
              <w:pStyle w:val="Style14"/>
              <w:bidi w:val="0"/>
              <w:jc w:val="start"/>
              <w:rPr/>
            </w:pPr>
            <w:r>
              <w:rPr/>
              <w:t>Фиксация данных о численности работников ЮЛ, поиск средснесписочного количества работников МО, направление запросов и обработка ответов на запросы, уведомление судьи</w:t>
            </w:r>
          </w:p>
        </w:tc>
      </w:tr>
    </w:tbl>
    <w:p>
      <w:pPr>
        <w:pStyle w:val="Heading2"/>
        <w:bidi w:val="0"/>
        <w:jc w:val="start"/>
        <w:rPr/>
      </w:pPr>
      <w:r>
        <w:rPr/>
        <w:t>5. Реестр справочников</w:t>
      </w:r>
    </w:p>
    <w:p>
      <w:pPr>
        <w:pStyle w:val="BodyText"/>
        <w:bidi w:val="0"/>
        <w:ind w:hanging="0" w:start="0" w:end="0"/>
        <w:jc w:val="start"/>
        <w:rPr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Emphasis"/>
        </w:rPr>
        <w:t>Справочники (классификаторы) ПК САД</w:t>
      </w:r>
    </w:p>
    <w:p>
      <w:pPr>
        <w:pStyle w:val="Heading2"/>
        <w:bidi w:val="0"/>
        <w:jc w:val="start"/>
        <w:rPr/>
      </w:pPr>
      <w:r>
        <w:rPr/>
        <w:t>6. Процессуальные документы</w:t>
      </w:r>
    </w:p>
    <w:p>
      <w:pPr>
        <w:pStyle w:val="Heading3"/>
        <w:bidi w:val="0"/>
        <w:jc w:val="start"/>
        <w:rPr/>
      </w:pPr>
      <w:r>
        <w:rPr/>
        <w:t>6.1. Документы рассмотрения</w:t>
      </w:r>
    </w:p>
    <w:tbl>
      <w:tblPr>
        <w:tblW w:w="1875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81"/>
        <w:gridCol w:w="1738"/>
        <w:gridCol w:w="8122"/>
        <w:gridCol w:w="2866"/>
        <w:gridCol w:w="5251"/>
      </w:tblGrid>
      <w:tr>
        <w:trPr>
          <w:tblHeader w:val="true"/>
        </w:trPr>
        <w:tc>
          <w:tcPr>
            <w:tcW w:w="781" w:type="dxa"/>
            <w:tcBorders/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/>
            </w:pPr>
            <w:r>
              <w:rPr/>
              <w:t xml:space="preserve">№ </w:t>
            </w:r>
            <w:r>
              <w:rPr/>
              <w:t>п/п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/>
            </w:pPr>
            <w:r>
              <w:rPr/>
              <w:t>Вид документа</w:t>
            </w:r>
          </w:p>
        </w:tc>
        <w:tc>
          <w:tcPr>
            <w:tcW w:w="8122" w:type="dxa"/>
            <w:tcBorders/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/>
            </w:pPr>
            <w:r>
              <w:rPr/>
              <w:t>Наименование документа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/>
            </w:pPr>
            <w:r>
              <w:rPr/>
              <w:t>Форма (печатная/устная)</w:t>
            </w:r>
          </w:p>
        </w:tc>
        <w:tc>
          <w:tcPr>
            <w:tcW w:w="5251" w:type="dxa"/>
            <w:tcBorders/>
            <w:vAlign w:val="center"/>
          </w:tcPr>
          <w:p>
            <w:pPr>
              <w:pStyle w:val="Style15"/>
              <w:bidi w:val="0"/>
              <w:jc w:val="start"/>
              <w:rPr/>
            </w:pPr>
            <w:r>
              <w:rPr/>
              <w:t>Образец / ссылка на облако, где располагается</w:t>
            </w:r>
          </w:p>
        </w:tc>
      </w:tr>
      <w:tr>
        <w:trPr/>
        <w:tc>
          <w:tcPr>
            <w:tcW w:w="781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Заявление</w:t>
            </w:r>
          </w:p>
        </w:tc>
        <w:tc>
          <w:tcPr>
            <w:tcW w:w="8122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Заявление о признании организации градообразующей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Печатная</w:t>
            </w:r>
          </w:p>
        </w:tc>
        <w:tc>
          <w:tcPr>
            <w:tcW w:w="5251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781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Запрос</w:t>
            </w:r>
          </w:p>
        </w:tc>
        <w:tc>
          <w:tcPr>
            <w:tcW w:w="8122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Запрос в Росстат о численности работающего населения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Печатная</w:t>
            </w:r>
          </w:p>
        </w:tc>
        <w:tc>
          <w:tcPr>
            <w:tcW w:w="5251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781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Запрос</w:t>
            </w:r>
          </w:p>
        </w:tc>
        <w:tc>
          <w:tcPr>
            <w:tcW w:w="8122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Запрос в ведомство о соответствии признакам градообразующей организации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Печатная</w:t>
            </w:r>
          </w:p>
        </w:tc>
        <w:tc>
          <w:tcPr>
            <w:tcW w:w="5251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Heading3"/>
        <w:bidi w:val="0"/>
        <w:jc w:val="start"/>
        <w:rPr/>
      </w:pPr>
      <w:r>
        <w:rPr/>
        <w:t>6.2. Судебные акты</w:t>
      </w:r>
    </w:p>
    <w:tbl>
      <w:tblPr>
        <w:tblW w:w="193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81"/>
        <w:gridCol w:w="1738"/>
        <w:gridCol w:w="7078"/>
        <w:gridCol w:w="4258"/>
        <w:gridCol w:w="2338"/>
        <w:gridCol w:w="3175"/>
      </w:tblGrid>
      <w:tr>
        <w:trPr>
          <w:tblHeader w:val="true"/>
        </w:trPr>
        <w:tc>
          <w:tcPr>
            <w:tcW w:w="781" w:type="dxa"/>
            <w:tcBorders/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/>
            </w:pPr>
            <w:r>
              <w:rPr/>
              <w:t xml:space="preserve">№ </w:t>
            </w:r>
            <w:r>
              <w:rPr/>
              <w:t>п/п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/>
            </w:pPr>
            <w:r>
              <w:rPr/>
              <w:t>Вид документа</w:t>
            </w:r>
          </w:p>
        </w:tc>
        <w:tc>
          <w:tcPr>
            <w:tcW w:w="7078" w:type="dxa"/>
            <w:tcBorders/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/>
            </w:pPr>
            <w:r>
              <w:rPr/>
              <w:t>Наименование документа</w:t>
            </w:r>
          </w:p>
        </w:tc>
        <w:tc>
          <w:tcPr>
            <w:tcW w:w="4258" w:type="dxa"/>
            <w:tcBorders/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/>
            </w:pPr>
            <w:r>
              <w:rPr/>
              <w:t>Форма (протокольное/отдельный СА)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/>
            </w:pPr>
            <w:r>
              <w:rPr/>
              <w:t>Обжалуется (да/нет)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Style15"/>
              <w:bidi w:val="0"/>
              <w:jc w:val="start"/>
              <w:rPr/>
            </w:pPr>
            <w:r>
              <w:rPr/>
              <w:t>Образец / ссылка на облако</w:t>
            </w:r>
          </w:p>
        </w:tc>
      </w:tr>
      <w:tr>
        <w:trPr/>
        <w:tc>
          <w:tcPr>
            <w:tcW w:w="781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</w:t>
            </w:r>
          </w:p>
        </w:tc>
        <w:tc>
          <w:tcPr>
            <w:tcW w:w="707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 о признании организации градообразующей</w:t>
            </w:r>
          </w:p>
        </w:tc>
        <w:tc>
          <w:tcPr>
            <w:tcW w:w="425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Отдельный СА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Да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781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</w:t>
            </w:r>
          </w:p>
        </w:tc>
        <w:tc>
          <w:tcPr>
            <w:tcW w:w="707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 об отказе в признании организации градообразующей</w:t>
            </w:r>
          </w:p>
        </w:tc>
        <w:tc>
          <w:tcPr>
            <w:tcW w:w="425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Отдельный СА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Да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Heading2"/>
        <w:bidi w:val="0"/>
        <w:jc w:val="start"/>
        <w:rPr/>
      </w:pPr>
      <w:r>
        <w:rPr/>
        <w:t>7. Межведомственное взаимодействие</w:t>
      </w:r>
    </w:p>
    <w:p>
      <w:pPr>
        <w:pStyle w:val="BodyText"/>
        <w:bidi w:val="0"/>
        <w:ind w:hanging="0" w:start="0" w:end="0"/>
        <w:jc w:val="start"/>
        <w:rPr>
          <w:color w:val="172B4D"/>
        </w:rPr>
      </w:pPr>
      <w:r>
        <w:rPr>
          <w:color w:val="172B4D"/>
        </w:rPr>
      </w:r>
    </w:p>
    <w:tbl>
      <w:tblPr>
        <w:tblW w:w="1889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072"/>
        <w:gridCol w:w="6526"/>
        <w:gridCol w:w="9296"/>
      </w:tblGrid>
      <w:tr>
        <w:trPr>
          <w:tblHeader w:val="true"/>
        </w:trPr>
        <w:tc>
          <w:tcPr>
            <w:tcW w:w="3072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Ведомство</w:t>
            </w:r>
          </w:p>
        </w:tc>
        <w:tc>
          <w:tcPr>
            <w:tcW w:w="652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Вид взаимодействия</w:t>
            </w:r>
          </w:p>
        </w:tc>
        <w:tc>
          <w:tcPr>
            <w:tcW w:w="929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</w:p>
        </w:tc>
      </w:tr>
      <w:tr>
        <w:trPr/>
        <w:tc>
          <w:tcPr>
            <w:tcW w:w="30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start"/>
              <w:rPr/>
            </w:pPr>
            <w:r>
              <w:rPr/>
              <w:t>Росстат</w:t>
            </w:r>
          </w:p>
        </w:tc>
        <w:tc>
          <w:tcPr>
            <w:tcW w:w="652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start"/>
              <w:rPr/>
            </w:pPr>
            <w:r>
              <w:rPr/>
              <w:t>Получение информации о среднесписочной численности работников МО</w:t>
            </w:r>
          </w:p>
        </w:tc>
        <w:tc>
          <w:tcPr>
            <w:tcW w:w="929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start"/>
              <w:rPr/>
            </w:pPr>
            <w:r>
              <w:rPr/>
              <w:t>Интеграция с сайтом</w:t>
            </w:r>
          </w:p>
        </w:tc>
      </w:tr>
    </w:tbl>
    <w:p>
      <w:pPr>
        <w:pStyle w:val="Heading2"/>
        <w:bidi w:val="0"/>
        <w:jc w:val="start"/>
        <w:rPr/>
      </w:pPr>
      <w:r>
        <w:rPr/>
        <w:t>8. Информация о сроках</w:t>
      </w:r>
    </w:p>
    <w:tbl>
      <w:tblPr>
        <w:tblW w:w="1576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57"/>
        <w:gridCol w:w="5674"/>
        <w:gridCol w:w="2638"/>
        <w:gridCol w:w="5791"/>
      </w:tblGrid>
      <w:tr>
        <w:trPr>
          <w:tblHeader w:val="true"/>
        </w:trPr>
        <w:tc>
          <w:tcPr>
            <w:tcW w:w="1657" w:type="dxa"/>
            <w:tcBorders/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/>
            </w:pPr>
            <w:r>
              <w:rPr/>
              <w:t>Шаг процесса</w:t>
            </w:r>
          </w:p>
        </w:tc>
        <w:tc>
          <w:tcPr>
            <w:tcW w:w="5674" w:type="dxa"/>
            <w:tcBorders/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/>
            </w:pPr>
            <w:r>
              <w:rPr/>
              <w:t>Описание действия, для которого установлен срок</w:t>
            </w:r>
          </w:p>
        </w:tc>
        <w:tc>
          <w:tcPr>
            <w:tcW w:w="2638" w:type="dxa"/>
            <w:tcBorders/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/>
            </w:pPr>
            <w:r>
              <w:rPr/>
              <w:t>Срок (год, месяц, день)</w:t>
            </w:r>
          </w:p>
        </w:tc>
        <w:tc>
          <w:tcPr>
            <w:tcW w:w="5791" w:type="dxa"/>
            <w:tcBorders/>
            <w:vAlign w:val="center"/>
          </w:tcPr>
          <w:p>
            <w:pPr>
              <w:pStyle w:val="Style15"/>
              <w:bidi w:val="0"/>
              <w:jc w:val="start"/>
              <w:rPr/>
            </w:pPr>
            <w:r>
              <w:rPr/>
              <w:t>Каким правовым актом установлен (при наличии)</w:t>
            </w:r>
          </w:p>
        </w:tc>
      </w:tr>
      <w:tr>
        <w:trPr/>
        <w:tc>
          <w:tcPr>
            <w:tcW w:w="1657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5674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638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5791" w:type="dxa"/>
            <w:tcBorders/>
            <w:vAlign w:val="center"/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2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Style12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Emphasis">
    <w:name w:val="Emphasis"/>
    <w:qFormat/>
    <w:rPr>
      <w:i/>
      <w:iCs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Style14">
    <w:name w:val="Содержимое таблицы"/>
    <w:basedOn w:val="Normal"/>
    <w:qFormat/>
    <w:pPr>
      <w:widowControl w:val="false"/>
      <w:suppressLineNumbers/>
    </w:pPr>
    <w:rPr/>
  </w:style>
  <w:style w:type="paragraph" w:styleId="Style15">
    <w:name w:val="Заголовок таблицы"/>
    <w:basedOn w:val="Style14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LibreOffice/7.6.4.1$Windows_X86_64 LibreOffice_project/e19e193f88cd6c0525a17fb7a176ed8e6a3e2aa1</Application>
  <AppVersion>15.0000</AppVersion>
  <Pages>1</Pages>
  <Words>850</Words>
  <Characters>6221</Characters>
  <CharactersWithSpaces>6901</CharactersWithSpaces>
  <Paragraphs>237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2025-10-27T05:22:26Z</dcterms:created>
  <dc:creator/>
  <dc:description/>
  <dc:language>ru-RU</dc:language>
  <cp:lastModifiedBy/>
  <dcterms:modified xsi:type="dcterms:W3CDTF">2025-10-27T05:39:10Z</dcterms:modified>
  <cp:revision>5</cp:revision>
  <dc:subject/>
  <dc:title/>
</cp:coreProperties>
</file>