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pBdr/>
        <w:bidi w:val="0"/>
        <w:spacing w:before="240" w:after="120"/>
        <w:ind w:hanging="0" w:start="0" w:end="0"/>
        <w:jc w:val="start"/>
        <w:rPr/>
      </w:pPr>
      <w:bookmarkStart w:id="0" w:name="title-text"/>
      <w:bookmarkEnd w:id="0"/>
      <w:r>
        <w:rPr/>
        <w:t xml:space="preserve">Описание ТБП133 "Рассмотреть вопрос о завершении конкурсного производства" </w:t>
      </w:r>
      <w:r>
        <w:rPr>
          <w:lang w:val="en-US"/>
        </w:rPr>
        <w:t>TO BE</w:t>
      </w:r>
    </w:p>
    <w:p>
      <w:pPr>
        <w:pStyle w:val="Heading2"/>
        <w:bidi w:val="0"/>
        <w:jc w:val="start"/>
        <w:rPr/>
      </w:pPr>
      <w:r>
        <w:rPr/>
        <w:t>1. Нормативно-правовые акты</w:t>
      </w:r>
    </w:p>
    <w:tbl>
      <w:tblPr>
        <w:tblW w:w="8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638"/>
      </w:tblGrid>
      <w:tr>
        <w:trPr>
          <w:tblHeader w:val="true"/>
        </w:trPr>
        <w:tc>
          <w:tcPr>
            <w:tcW w:w="8638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Название НПА с реквизитами</w:t>
            </w:r>
          </w:p>
        </w:tc>
      </w:tr>
      <w:tr>
        <w:trPr/>
        <w:tc>
          <w:tcPr>
            <w:tcW w:w="8638" w:type="dxa"/>
            <w:tcBorders/>
            <w:vAlign w:val="center"/>
          </w:tcPr>
          <w:p>
            <w:pPr>
              <w:pStyle w:val="Style13"/>
              <w:widowControl w:val="false"/>
              <w:suppressLineNumbers/>
              <w:bidi w:val="0"/>
              <w:jc w:val="start"/>
              <w:rPr/>
            </w:pPr>
            <w:r>
              <w:rPr/>
              <w:t>Федеральный закон от 26.10.2002 № 127-ФЗ "О несостоятельности (банкротстве)"</w:t>
            </w:r>
          </w:p>
        </w:tc>
      </w:tr>
    </w:tbl>
    <w:p>
      <w:pPr>
        <w:pStyle w:val="Heading2"/>
        <w:bidi w:val="0"/>
        <w:jc w:val="start"/>
        <w:rPr/>
      </w:pPr>
      <w:r>
        <w:rPr/>
        <w:t>2. Схема процесса</w:t>
      </w:r>
    </w:p>
    <w:p>
      <w:pPr>
        <w:pStyle w:val="BodyText"/>
        <w:bidi w:val="0"/>
        <w:jc w:val="start"/>
        <w:rPr/>
      </w:pPr>
      <w:r>
        <w:rPr/>
        <w:t>BPMN-файл: "TBP133_rassmotr_vopros_zavershenii_konkrusnogo_tobe.bpmn"</w:t>
      </w:r>
    </w:p>
    <w:p>
      <w:pPr>
        <w:pStyle w:val="Heading2"/>
        <w:bidi w:val="0"/>
        <w:jc w:val="start"/>
        <w:rPr/>
      </w:pPr>
      <w:r>
        <w:rPr/>
        <w:t>3. Описание схемы бизнес-процессов</w:t>
      </w:r>
    </w:p>
    <w:tbl>
      <w:tblPr>
        <w:tblW w:w="2200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29"/>
        <w:gridCol w:w="2122"/>
        <w:gridCol w:w="2259"/>
        <w:gridCol w:w="2797"/>
        <w:gridCol w:w="4811"/>
        <w:gridCol w:w="1835"/>
        <w:gridCol w:w="6756"/>
      </w:tblGrid>
      <w:tr>
        <w:trPr>
          <w:tblHeader w:val="true"/>
        </w:trPr>
        <w:tc>
          <w:tcPr>
            <w:tcW w:w="1429" w:type="dxa"/>
            <w:tcBorders/>
            <w:vAlign w:val="center"/>
          </w:tcPr>
          <w:p>
            <w:pPr>
              <w:pStyle w:val="Style14"/>
              <w:suppressLineNumbers/>
              <w:bidi w:val="0"/>
              <w:jc w:val="center"/>
              <w:rPr/>
            </w:pPr>
            <w:r>
              <w:rPr/>
              <w:t xml:space="preserve">№ </w:t>
            </w:r>
            <w:r>
              <w:rPr/>
              <w:t>действия</w:t>
            </w:r>
          </w:p>
        </w:tc>
        <w:tc>
          <w:tcPr>
            <w:tcW w:w="2122" w:type="dxa"/>
            <w:tcBorders/>
            <w:vAlign w:val="center"/>
          </w:tcPr>
          <w:p>
            <w:pPr>
              <w:pStyle w:val="Style14"/>
              <w:suppressLineNumbers/>
              <w:bidi w:val="0"/>
              <w:jc w:val="center"/>
              <w:rPr/>
            </w:pPr>
            <w:r>
              <w:rPr/>
              <w:t>Роль (актор на конкретном шаге, в т.ч. Система)</w:t>
            </w:r>
          </w:p>
        </w:tc>
        <w:tc>
          <w:tcPr>
            <w:tcW w:w="2259" w:type="dxa"/>
            <w:tcBorders/>
            <w:vAlign w:val="center"/>
          </w:tcPr>
          <w:p>
            <w:pPr>
              <w:pStyle w:val="Style14"/>
              <w:suppressLineNumbers/>
              <w:bidi w:val="0"/>
              <w:jc w:val="center"/>
              <w:rPr/>
            </w:pPr>
            <w:r>
              <w:rPr/>
              <w:t>Входящие материалы (объект/данные, инициирующие шаги)</w:t>
            </w:r>
          </w:p>
        </w:tc>
        <w:tc>
          <w:tcPr>
            <w:tcW w:w="2797" w:type="dxa"/>
            <w:tcBorders/>
            <w:vAlign w:val="center"/>
          </w:tcPr>
          <w:p>
            <w:pPr>
              <w:pStyle w:val="Style14"/>
              <w:suppressLineNumbers/>
              <w:bidi w:val="0"/>
              <w:jc w:val="center"/>
              <w:rPr/>
            </w:pPr>
            <w:r>
              <w:rPr/>
              <w:t>Исходящие материалы (объект, являющийся результатом действия)</w:t>
            </w:r>
          </w:p>
        </w:tc>
        <w:tc>
          <w:tcPr>
            <w:tcW w:w="4811" w:type="dxa"/>
            <w:tcBorders/>
            <w:vAlign w:val="center"/>
          </w:tcPr>
          <w:p>
            <w:pPr>
              <w:pStyle w:val="Style14"/>
              <w:suppressLineNumbers/>
              <w:bidi w:val="0"/>
              <w:jc w:val="center"/>
              <w:rPr/>
            </w:pPr>
            <w:r>
              <w:rPr/>
              <w:t>Наименование шага процесса</w:t>
            </w:r>
          </w:p>
        </w:tc>
        <w:tc>
          <w:tcPr>
            <w:tcW w:w="1835" w:type="dxa"/>
            <w:tcBorders/>
            <w:vAlign w:val="center"/>
          </w:tcPr>
          <w:p>
            <w:pPr>
              <w:pStyle w:val="Style14"/>
              <w:suppressLineNumbers/>
              <w:bidi w:val="0"/>
              <w:jc w:val="center"/>
              <w:rPr/>
            </w:pPr>
            <w:r>
              <w:rPr/>
              <w:t>Срок (срок и шаг с которого считается срок)</w:t>
            </w:r>
          </w:p>
        </w:tc>
        <w:tc>
          <w:tcPr>
            <w:tcW w:w="6756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rPr/>
            </w:pPr>
            <w:r>
              <w:rPr/>
              <w:t>Описание процесса (актор и описание)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0</w:t>
            </w:r>
          </w:p>
        </w:tc>
        <w:tc>
          <w:tcPr>
            <w:tcW w:w="2122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Суд</w:t>
            </w:r>
          </w:p>
        </w:tc>
        <w:tc>
          <w:tcPr>
            <w:tcW w:w="2259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2797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4811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После оценки доказательств суд перешел к вынесению решения</w:t>
            </w:r>
          </w:p>
        </w:tc>
        <w:tc>
          <w:tcPr>
            <w:tcW w:w="1835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6756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После оценки доказательств суд перешел к вынесению решения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1</w:t>
            </w:r>
          </w:p>
        </w:tc>
        <w:tc>
          <w:tcPr>
            <w:tcW w:w="2122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Система</w:t>
            </w:r>
          </w:p>
        </w:tc>
        <w:tc>
          <w:tcPr>
            <w:tcW w:w="2259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2797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 xml:space="preserve">Данные о требовании к функции тайна совещательной </w:t>
            </w:r>
            <w:r>
              <w:rPr/>
              <w:t>комнаты</w:t>
            </w:r>
            <w:r>
              <w:rPr/>
              <w:t xml:space="preserve"> </w:t>
            </w:r>
          </w:p>
        </w:tc>
        <w:tc>
          <w:tcPr>
            <w:tcW w:w="4811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Задать судье вопрос о тайне совещательной</w:t>
            </w:r>
          </w:p>
        </w:tc>
        <w:tc>
          <w:tcPr>
            <w:tcW w:w="1835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6756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 xml:space="preserve">Система предоставляет возможность включать функцию «тайна совещательной </w:t>
            </w:r>
            <w:r>
              <w:rPr>
                <w:lang w:val="ru-RU"/>
              </w:rPr>
              <w:t>комнаты»</w:t>
            </w:r>
            <w:r>
              <w:rPr/>
              <w:t xml:space="preserve">. 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2</w:t>
            </w:r>
          </w:p>
        </w:tc>
        <w:tc>
          <w:tcPr>
            <w:tcW w:w="2122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259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2797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 xml:space="preserve">Решение пользователя </w:t>
            </w:r>
          </w:p>
        </w:tc>
        <w:tc>
          <w:tcPr>
            <w:tcW w:w="4811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Ответить на вопрос о тайне совещательной</w:t>
            </w:r>
          </w:p>
        </w:tc>
        <w:tc>
          <w:tcPr>
            <w:tcW w:w="1835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6756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 xml:space="preserve">Суд принимает решение о наличии включенной функции в деле/номенклатурном деле "тайна совещательной </w:t>
            </w:r>
            <w:r>
              <w:rPr/>
              <w:t>комнаты</w:t>
            </w:r>
            <w:r>
              <w:rPr/>
              <w:t xml:space="preserve">" 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3</w:t>
            </w:r>
          </w:p>
        </w:tc>
        <w:tc>
          <w:tcPr>
            <w:tcW w:w="2122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259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2797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4811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 xml:space="preserve">Тайна совещательной обеспечена? </w:t>
            </w:r>
          </w:p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 xml:space="preserve">Эксклюзивный шлюз. </w:t>
            </w:r>
          </w:p>
        </w:tc>
        <w:tc>
          <w:tcPr>
            <w:tcW w:w="1835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6756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 xml:space="preserve">Если </w:t>
            </w:r>
            <w:r>
              <w:rPr/>
              <w:t xml:space="preserve">Да: переход к шагу 22 </w:t>
            </w:r>
          </w:p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 xml:space="preserve">Если </w:t>
            </w:r>
            <w:r>
              <w:rPr/>
              <w:t>Нет: переход к шагу 21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4</w:t>
            </w:r>
          </w:p>
        </w:tc>
        <w:tc>
          <w:tcPr>
            <w:tcW w:w="2122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Система</w:t>
            </w:r>
          </w:p>
        </w:tc>
        <w:tc>
          <w:tcPr>
            <w:tcW w:w="2259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Документы дело/материалы дела</w:t>
            </w:r>
          </w:p>
        </w:tc>
        <w:tc>
          <w:tcPr>
            <w:tcW w:w="2797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 xml:space="preserve">Ограничение на вынесение СА по данному делу </w:t>
            </w:r>
          </w:p>
        </w:tc>
        <w:tc>
          <w:tcPr>
            <w:tcW w:w="4811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Закрыть доступ к вынесению СА</w:t>
            </w:r>
          </w:p>
        </w:tc>
        <w:tc>
          <w:tcPr>
            <w:tcW w:w="1835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6756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 xml:space="preserve">Система фиксирует дополнительные параметры дела/номенклатурных связанных дел для осуществления закрытия доступа к вынесению СА 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5</w:t>
            </w:r>
          </w:p>
        </w:tc>
        <w:tc>
          <w:tcPr>
            <w:tcW w:w="2122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259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2797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4811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Переход в процесс Провести СЗ</w:t>
              <w:br/>
              <w:t xml:space="preserve">Завершение процесса. </w:t>
            </w:r>
          </w:p>
        </w:tc>
        <w:tc>
          <w:tcPr>
            <w:tcW w:w="1835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6756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 xml:space="preserve">При невозможности обеспечить тайну совещательной </w:t>
            </w:r>
            <w:r>
              <w:rPr/>
              <w:t xml:space="preserve">комнаты </w:t>
            </w:r>
            <w:r>
              <w:rPr/>
              <w:t xml:space="preserve">суд переходит к проведению судебного заседания 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6</w:t>
            </w:r>
          </w:p>
        </w:tc>
        <w:tc>
          <w:tcPr>
            <w:tcW w:w="2122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Система</w:t>
            </w:r>
          </w:p>
        </w:tc>
        <w:tc>
          <w:tcPr>
            <w:tcW w:w="2259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 xml:space="preserve">Данные по делу/номенклатурному делу </w:t>
            </w:r>
          </w:p>
        </w:tc>
        <w:tc>
          <w:tcPr>
            <w:tcW w:w="2797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4811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 xml:space="preserve">Система фиксирует и сохраняет данные </w:t>
            </w:r>
          </w:p>
        </w:tc>
        <w:tc>
          <w:tcPr>
            <w:tcW w:w="1835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6756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Указать в СА мотивы неприменения НПА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7</w:t>
            </w:r>
          </w:p>
        </w:tc>
        <w:tc>
          <w:tcPr>
            <w:tcW w:w="2122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Система</w:t>
            </w:r>
          </w:p>
        </w:tc>
        <w:tc>
          <w:tcPr>
            <w:tcW w:w="2259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2797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 xml:space="preserve">Законы и НПА подлежащие применению </w:t>
            </w:r>
          </w:p>
        </w:tc>
        <w:tc>
          <w:tcPr>
            <w:tcW w:w="4811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Определить законы и НПА подлежащие применению</w:t>
            </w:r>
          </w:p>
        </w:tc>
        <w:tc>
          <w:tcPr>
            <w:tcW w:w="1835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6756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 xml:space="preserve">Система </w:t>
            </w:r>
            <w:r>
              <w:rPr/>
              <w:t xml:space="preserve">определяет законы и нормативно-правовые акты, подлежащие применению при рассмотрении вопроса о завершении конкурсного производства 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8</w:t>
            </w:r>
          </w:p>
        </w:tc>
        <w:tc>
          <w:tcPr>
            <w:tcW w:w="2122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Система</w:t>
            </w:r>
          </w:p>
        </w:tc>
        <w:tc>
          <w:tcPr>
            <w:tcW w:w="2259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2797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 xml:space="preserve">Содержание норм права в официальном толковании </w:t>
            </w:r>
          </w:p>
        </w:tc>
        <w:tc>
          <w:tcPr>
            <w:tcW w:w="4811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Установить содержание норм права в официальном толковании</w:t>
            </w:r>
          </w:p>
        </w:tc>
        <w:tc>
          <w:tcPr>
            <w:tcW w:w="1835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6756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 xml:space="preserve">Система </w:t>
            </w:r>
            <w:r>
              <w:rPr/>
              <w:t xml:space="preserve">устанавливает содержание норм права в их официальном толковании 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9</w:t>
            </w:r>
          </w:p>
        </w:tc>
        <w:tc>
          <w:tcPr>
            <w:tcW w:w="2122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Система</w:t>
            </w:r>
          </w:p>
        </w:tc>
        <w:tc>
          <w:tcPr>
            <w:tcW w:w="2259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2797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 xml:space="preserve">Содержание норм права в судебной практике </w:t>
            </w:r>
          </w:p>
        </w:tc>
        <w:tc>
          <w:tcPr>
            <w:tcW w:w="4811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Установить содержание норм права в судебной практике</w:t>
            </w:r>
          </w:p>
        </w:tc>
        <w:tc>
          <w:tcPr>
            <w:tcW w:w="1835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6756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 xml:space="preserve">Система </w:t>
            </w:r>
            <w:r>
              <w:rPr/>
              <w:t xml:space="preserve">устанавливает содержание норм права в судебной практике 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10</w:t>
            </w:r>
          </w:p>
        </w:tc>
        <w:tc>
          <w:tcPr>
            <w:tcW w:w="2122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Система</w:t>
            </w:r>
          </w:p>
        </w:tc>
        <w:tc>
          <w:tcPr>
            <w:tcW w:w="2259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2797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 xml:space="preserve">Права и обязанности ЛУВД </w:t>
            </w:r>
          </w:p>
        </w:tc>
        <w:tc>
          <w:tcPr>
            <w:tcW w:w="4811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Установить права и обязанности ЛУВД</w:t>
            </w:r>
          </w:p>
        </w:tc>
        <w:tc>
          <w:tcPr>
            <w:tcW w:w="1835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6756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 xml:space="preserve">Система </w:t>
            </w:r>
            <w:r>
              <w:rPr/>
              <w:t xml:space="preserve">устанавливает права и обязанности лиц, участвующих в деле 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11</w:t>
            </w:r>
          </w:p>
        </w:tc>
        <w:tc>
          <w:tcPr>
            <w:tcW w:w="2122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259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Системный отчет</w:t>
            </w:r>
          </w:p>
        </w:tc>
        <w:tc>
          <w:tcPr>
            <w:tcW w:w="2797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4811" w:type="dxa"/>
            <w:tcBorders/>
            <w:vAlign w:val="center"/>
          </w:tcPr>
          <w:p>
            <w:r>
              <w:t>ТБП139.Проверить выводы системы</w:t>
            </w:r>
          </w:p>
        </w:tc>
        <w:tc>
          <w:tcPr>
            <w:tcW w:w="1835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6756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Переход к типовому процессу «Проверить выводы системы».</w:t>
            </w:r>
          </w:p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Судья валидирует внесенные системой данные исходя из сформированного отчета.</w:t>
            </w:r>
          </w:p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Результатом будет занесение данных в систему согласно рекомендации или частичное занесение или отправка данных в техническую поддержку и ручной ввод данных.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12</w:t>
            </w:r>
          </w:p>
        </w:tc>
        <w:tc>
          <w:tcPr>
            <w:tcW w:w="2122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259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2797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4811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ЛУВД ссылались на иные НПА?</w:t>
            </w:r>
          </w:p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Эксклюзивный шлюз.</w:t>
            </w:r>
          </w:p>
        </w:tc>
        <w:tc>
          <w:tcPr>
            <w:tcW w:w="1835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6756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 xml:space="preserve">Если </w:t>
            </w:r>
            <w:r>
              <w:rPr/>
              <w:t xml:space="preserve">Да: переход к шагу </w:t>
            </w:r>
            <w:r>
              <w:rPr/>
              <w:t>13</w:t>
            </w:r>
          </w:p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Если</w:t>
            </w:r>
            <w:r>
              <w:rPr/>
              <w:t xml:space="preserve"> Нет: переход к шагу </w:t>
            </w:r>
            <w:r>
              <w:rPr/>
              <w:t>14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13</w:t>
            </w:r>
          </w:p>
        </w:tc>
        <w:tc>
          <w:tcPr>
            <w:tcW w:w="2122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259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2797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 xml:space="preserve">Мотивы неприменения НПА </w:t>
            </w:r>
          </w:p>
        </w:tc>
        <w:tc>
          <w:tcPr>
            <w:tcW w:w="4811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Указать в СА мотивы неприменения НПА</w:t>
            </w:r>
          </w:p>
        </w:tc>
        <w:tc>
          <w:tcPr>
            <w:tcW w:w="1835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6756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 xml:space="preserve">Суд указывает в номенклатурном деле "судебном акте" мотивы неприменения нормативно-правовых актов, на которые ссылались участники процесса 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14</w:t>
            </w:r>
          </w:p>
        </w:tc>
        <w:tc>
          <w:tcPr>
            <w:tcW w:w="2122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259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2797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4811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Эксклюзивный закрывающий шлюз</w:t>
            </w:r>
          </w:p>
        </w:tc>
        <w:tc>
          <w:tcPr>
            <w:tcW w:w="1835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6756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Эксклюзивный закрывающий шлюз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15</w:t>
            </w:r>
          </w:p>
        </w:tc>
        <w:tc>
          <w:tcPr>
            <w:tcW w:w="2122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259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2797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4811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Требования кредиторов погашены?</w:t>
            </w:r>
          </w:p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Эксклюзивный шлюз.</w:t>
            </w:r>
          </w:p>
        </w:tc>
        <w:tc>
          <w:tcPr>
            <w:tcW w:w="1835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6756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 xml:space="preserve">Требования кредиторов погашены? </w:t>
            </w:r>
          </w:p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 xml:space="preserve">Если </w:t>
            </w:r>
            <w:r>
              <w:rPr/>
              <w:t>Да: переход к шагу 1</w:t>
            </w:r>
            <w:r>
              <w:rPr/>
              <w:t>6</w:t>
            </w:r>
          </w:p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 xml:space="preserve">Если </w:t>
            </w:r>
            <w:r>
              <w:rPr/>
              <w:t>Нет: переход к шагу 1</w:t>
            </w:r>
            <w:r>
              <w:rPr/>
              <w:t>7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16</w:t>
            </w:r>
          </w:p>
        </w:tc>
        <w:tc>
          <w:tcPr>
            <w:tcW w:w="2122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259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2797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4811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Переход в ТП Рассмотреть вопрос о прекращении производства по банкротству</w:t>
            </w:r>
          </w:p>
        </w:tc>
        <w:tc>
          <w:tcPr>
            <w:tcW w:w="1835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6756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 xml:space="preserve">Переход в ТП Рассмотреть вопрос о прекращении производства по банкротству 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17</w:t>
            </w:r>
          </w:p>
        </w:tc>
        <w:tc>
          <w:tcPr>
            <w:tcW w:w="2122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259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2797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4811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Параллельный шлюз</w:t>
            </w:r>
          </w:p>
        </w:tc>
        <w:tc>
          <w:tcPr>
            <w:tcW w:w="1835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6756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Параллельный шлюз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18</w:t>
            </w:r>
          </w:p>
        </w:tc>
        <w:tc>
          <w:tcPr>
            <w:tcW w:w="2122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259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2797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4811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Проверить соответствие выводов АУ в отчете</w:t>
            </w:r>
          </w:p>
        </w:tc>
        <w:tc>
          <w:tcPr>
            <w:tcW w:w="1835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6756" w:type="dxa"/>
            <w:tcBorders/>
            <w:vAlign w:val="center"/>
          </w:tcPr>
          <w:p>
            <w:pPr>
              <w:pStyle w:val="BodyText"/>
              <w:pBdr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 xml:space="preserve">Судья проверяет соответствие выводов АУ в отчете </w:t>
            </w:r>
            <w:r>
              <w:rPr>
                <w:color w:val="000000"/>
              </w:rPr>
              <w:t>и фиксирует сопутствующие данные о проверке в системе.</w:t>
            </w:r>
          </w:p>
          <w:p>
            <w:pPr>
              <w:pStyle w:val="BodyText"/>
              <w:pBdr/>
              <w:bidi w:val="0"/>
              <w:spacing w:before="0" w:after="140"/>
              <w:ind w:hanging="0" w:start="0" w:end="0"/>
              <w:jc w:val="start"/>
              <w:rPr/>
            </w:pPr>
            <w:r>
              <w:rPr>
                <w:color w:val="000000"/>
              </w:rPr>
              <w:t>Согласно ч.1 ст. 149 Федеральный закон от 26.10.2002 N 127-ФЗ После завершения мероприятий, выполняемых в ходе конкурсного производства, конкурсный управляющий обращается в арбитражный суд с ходатайством о завершении конкурсного производства и представляет отчет о результатах проведения конкурсного производства. После рассмотрения арбитражным судом отчета конкурсного управляющего о результатах проведения конкурсного производства арбитражный суд выносит определение о завершении конкурсного производства, а в случае погашения требований кредиторов в соответствии со статьей 125 настоящего Федерального закона - определение о прекращении производства по делу о банкротстве.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19</w:t>
            </w:r>
          </w:p>
        </w:tc>
        <w:tc>
          <w:tcPr>
            <w:tcW w:w="2122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259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2797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4811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Установить надлежащее исполнение обязанностей АУ</w:t>
            </w:r>
          </w:p>
        </w:tc>
        <w:tc>
          <w:tcPr>
            <w:tcW w:w="1835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6756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 xml:space="preserve">Судья устанавливает надлежащее исполнение обязанностей АУ 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20</w:t>
            </w:r>
          </w:p>
        </w:tc>
        <w:tc>
          <w:tcPr>
            <w:tcW w:w="2122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259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2797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4811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Параллельный шлюз</w:t>
            </w:r>
          </w:p>
        </w:tc>
        <w:tc>
          <w:tcPr>
            <w:tcW w:w="1835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6756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Параллельный шлюз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21</w:t>
            </w:r>
          </w:p>
        </w:tc>
        <w:tc>
          <w:tcPr>
            <w:tcW w:w="2122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259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2797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4811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Необходимо продлить конкурсное производство?</w:t>
            </w:r>
          </w:p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Эксклюзивный шлюз</w:t>
            </w:r>
          </w:p>
        </w:tc>
        <w:tc>
          <w:tcPr>
            <w:tcW w:w="1835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6756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 xml:space="preserve">Необходимо продлить конкурсное производство? </w:t>
            </w:r>
          </w:p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 xml:space="preserve">Если </w:t>
            </w:r>
            <w:r>
              <w:rPr/>
              <w:t xml:space="preserve">Да: переход к шагу </w:t>
            </w:r>
            <w:r>
              <w:rPr/>
              <w:t>22</w:t>
            </w:r>
          </w:p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Если</w:t>
            </w:r>
            <w:r>
              <w:rPr/>
              <w:t xml:space="preserve"> Нет: переход к шагу </w:t>
            </w:r>
            <w:r>
              <w:rPr/>
              <w:t>23</w:t>
            </w:r>
            <w:r>
              <w:rPr/>
              <w:t>.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22</w:t>
            </w:r>
          </w:p>
        </w:tc>
        <w:tc>
          <w:tcPr>
            <w:tcW w:w="2122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259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2797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4811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Переход к основной схеме в зависимости от процедуры банкротства</w:t>
            </w:r>
          </w:p>
        </w:tc>
        <w:tc>
          <w:tcPr>
            <w:tcW w:w="1835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6756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 xml:space="preserve">Переход к основной схеме в зависимости от процедуры банкротства 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23</w:t>
            </w:r>
          </w:p>
        </w:tc>
        <w:tc>
          <w:tcPr>
            <w:tcW w:w="2122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259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2797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4811" w:type="dxa"/>
            <w:tcBorders/>
            <w:vAlign w:val="center"/>
          </w:tcPr>
          <w:p>
            <w:r>
              <w:t>ТБП17.Контроль полноты рассмотрения ходатайств и заявлений</w:t>
            </w:r>
          </w:p>
        </w:tc>
        <w:tc>
          <w:tcPr>
            <w:tcW w:w="1835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6756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Переход к типовому процессу "Контроль полноты рассмотрения ходатайств и заявлений". В результате данного ТП судья проверяет полноту рассмотрения ходатайств и заявлений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24</w:t>
            </w:r>
          </w:p>
        </w:tc>
        <w:tc>
          <w:tcPr>
            <w:tcW w:w="2122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259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2797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4811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Все ОС рассмотрены?</w:t>
            </w:r>
          </w:p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Эксклюзивный шлюз</w:t>
            </w:r>
          </w:p>
        </w:tc>
        <w:tc>
          <w:tcPr>
            <w:tcW w:w="1835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6756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 xml:space="preserve">Все ОС рассмотрены? </w:t>
            </w:r>
          </w:p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 xml:space="preserve">Если </w:t>
            </w:r>
            <w:r>
              <w:rPr/>
              <w:t>Да: переход к шагу 2</w:t>
            </w:r>
            <w:r>
              <w:rPr/>
              <w:t>6</w:t>
            </w:r>
          </w:p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 xml:space="preserve">Если </w:t>
            </w:r>
            <w:r>
              <w:rPr/>
              <w:t>Нет: переход к шагу 2</w:t>
            </w:r>
            <w:r>
              <w:rPr/>
              <w:t>5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25</w:t>
            </w:r>
          </w:p>
        </w:tc>
        <w:tc>
          <w:tcPr>
            <w:tcW w:w="2122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259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2797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4811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Переход к рассмотрению ОС в зависимости от вида ОС</w:t>
            </w:r>
          </w:p>
        </w:tc>
        <w:tc>
          <w:tcPr>
            <w:tcW w:w="1835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6756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 xml:space="preserve">Переход к рассмотрению ОС в зависимости от вида ОС 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26</w:t>
            </w:r>
          </w:p>
        </w:tc>
        <w:tc>
          <w:tcPr>
            <w:tcW w:w="2122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259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2797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Если да, то переход к шагу 27. Если нет, то переход к шагу 28</w:t>
            </w:r>
          </w:p>
        </w:tc>
        <w:tc>
          <w:tcPr>
            <w:tcW w:w="4811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Завершение процедуры конкурсного производства в отношении должника создает препятствия для реализации ЛУВД своих прав?</w:t>
            </w:r>
          </w:p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Эксклюзивный шлюз</w:t>
            </w:r>
          </w:p>
        </w:tc>
        <w:tc>
          <w:tcPr>
            <w:tcW w:w="1835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6756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 xml:space="preserve">Завершение процедуры конкурсного производства в отношении должника создает препятствия для реализации ЛУВД своих прав? </w:t>
            </w:r>
          </w:p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 xml:space="preserve">Если </w:t>
            </w:r>
            <w:r>
              <w:rPr/>
              <w:t>Да: переход к шагу 2</w:t>
            </w:r>
            <w:r>
              <w:rPr/>
              <w:t>7</w:t>
            </w:r>
          </w:p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 xml:space="preserve">Если </w:t>
            </w:r>
            <w:r>
              <w:rPr/>
              <w:t>Нет: переход к шагу 2</w:t>
            </w:r>
            <w:r>
              <w:rPr/>
              <w:t>8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27</w:t>
            </w:r>
          </w:p>
        </w:tc>
        <w:tc>
          <w:tcPr>
            <w:tcW w:w="2122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259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2797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4811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Переход к основной схеме в зависимости от процедуры банкротства</w:t>
            </w:r>
          </w:p>
        </w:tc>
        <w:tc>
          <w:tcPr>
            <w:tcW w:w="1835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6756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 xml:space="preserve">Переход к основной схеме в зависимости от процедуры банкротства 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28</w:t>
            </w:r>
          </w:p>
        </w:tc>
        <w:tc>
          <w:tcPr>
            <w:tcW w:w="2122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259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2797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4811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Разрешить подлежит ли дело завершению</w:t>
            </w:r>
          </w:p>
        </w:tc>
        <w:tc>
          <w:tcPr>
            <w:tcW w:w="1835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6756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 xml:space="preserve">Судья определяет, подлежит ли дело разрешению </w:t>
            </w:r>
            <w:r>
              <w:rPr/>
              <w:t>и отражает вывод в системе.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29</w:t>
            </w:r>
          </w:p>
        </w:tc>
        <w:tc>
          <w:tcPr>
            <w:tcW w:w="2122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Система</w:t>
            </w:r>
          </w:p>
        </w:tc>
        <w:tc>
          <w:tcPr>
            <w:tcW w:w="2259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2797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4811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Отразить в СА исключение должника из ЕГРЮЛ</w:t>
            </w:r>
          </w:p>
        </w:tc>
        <w:tc>
          <w:tcPr>
            <w:tcW w:w="1835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6756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Система фиксирует</w:t>
            </w:r>
            <w:r>
              <w:rPr/>
              <w:t xml:space="preserve"> в </w:t>
            </w:r>
            <w:r>
              <w:rPr/>
              <w:t>номенклатурном деле</w:t>
            </w:r>
            <w:r>
              <w:rPr/>
              <w:t xml:space="preserve"> «</w:t>
            </w:r>
            <w:r>
              <w:rPr/>
              <w:t xml:space="preserve">судебный акт» </w:t>
            </w:r>
            <w:r>
              <w:rPr/>
              <w:t xml:space="preserve">исключение должника из ЕГРЮЛ. </w:t>
            </w:r>
          </w:p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 xml:space="preserve">Согласно ч.4 ст. 149 Федерального закона от 26.10.2002 N 127-ФЗ: С даты внесения записи о ликвидации должника в единый государственный реестр юридических лиц конкурсное производство считается завершенным. 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30</w:t>
            </w:r>
          </w:p>
        </w:tc>
        <w:tc>
          <w:tcPr>
            <w:tcW w:w="2122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Система</w:t>
            </w:r>
          </w:p>
        </w:tc>
        <w:tc>
          <w:tcPr>
            <w:tcW w:w="2259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2797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4811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Указать в СА необходимые идентифицирующие реквизиты</w:t>
            </w:r>
          </w:p>
        </w:tc>
        <w:tc>
          <w:tcPr>
            <w:tcW w:w="1835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6756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 xml:space="preserve">Система указывает в судебном акте необходимые идентифицирующие реквизиты 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31</w:t>
            </w:r>
          </w:p>
        </w:tc>
        <w:tc>
          <w:tcPr>
            <w:tcW w:w="2122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Система</w:t>
            </w:r>
          </w:p>
        </w:tc>
        <w:tc>
          <w:tcPr>
            <w:tcW w:w="2259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2797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4811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Указать в СА реквизиты для оплаты АУ</w:t>
            </w:r>
          </w:p>
        </w:tc>
        <w:tc>
          <w:tcPr>
            <w:tcW w:w="1835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6756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 xml:space="preserve">Система </w:t>
            </w:r>
            <w:r>
              <w:rPr/>
              <w:t xml:space="preserve">указывает в СА реквизиты для оплаты АУ 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32</w:t>
            </w:r>
          </w:p>
        </w:tc>
        <w:tc>
          <w:tcPr>
            <w:tcW w:w="2122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259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2797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4811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Необходимо разрешить иные вопросы в ходе судебного разбирательства?</w:t>
            </w:r>
          </w:p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Эксклюзивный  шлюз</w:t>
            </w:r>
          </w:p>
        </w:tc>
        <w:tc>
          <w:tcPr>
            <w:tcW w:w="1835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6756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 xml:space="preserve"> </w:t>
            </w:r>
            <w:r>
              <w:rPr/>
              <w:t xml:space="preserve">Необходимо разрешить вопросы обеспечительных мер? </w:t>
            </w:r>
          </w:p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 xml:space="preserve">Если </w:t>
            </w:r>
            <w:r>
              <w:rPr/>
              <w:t>Да: переход к шагу 3</w:t>
            </w:r>
            <w:r>
              <w:rPr/>
              <w:t>3</w:t>
            </w:r>
          </w:p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 xml:space="preserve">Если </w:t>
            </w:r>
            <w:r>
              <w:rPr/>
              <w:t>Нет: переход к шагу 3</w:t>
            </w:r>
            <w:r>
              <w:rPr/>
              <w:t>4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33</w:t>
            </w:r>
          </w:p>
        </w:tc>
        <w:tc>
          <w:tcPr>
            <w:tcW w:w="2122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259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2797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4811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Переход в процесс рассмотрения обеспечительных мер</w:t>
            </w:r>
          </w:p>
        </w:tc>
        <w:tc>
          <w:tcPr>
            <w:tcW w:w="1835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6756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Переход в процесс рассмотрения обеспечительных мер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34</w:t>
            </w:r>
          </w:p>
        </w:tc>
        <w:tc>
          <w:tcPr>
            <w:tcW w:w="2122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259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2797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4811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Необходимо разрешить иные вопросы в ходе судебного разбирательства?</w:t>
            </w:r>
          </w:p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Эксклюзивный шлюз</w:t>
            </w:r>
          </w:p>
        </w:tc>
        <w:tc>
          <w:tcPr>
            <w:tcW w:w="1835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6756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 xml:space="preserve">Необходимо разрешить иные вопросы в ходе судебного разбирательства? </w:t>
            </w:r>
          </w:p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 xml:space="preserve">Если </w:t>
            </w:r>
            <w:r>
              <w:rPr/>
              <w:t>Да: переход к шагу 3</w:t>
            </w:r>
            <w:r>
              <w:rPr/>
              <w:t>5</w:t>
            </w:r>
          </w:p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Если</w:t>
            </w:r>
            <w:r>
              <w:rPr/>
              <w:t xml:space="preserve"> Нет: переход к шагу 3</w:t>
            </w:r>
            <w:r>
              <w:rPr/>
              <w:t>9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35</w:t>
            </w:r>
          </w:p>
        </w:tc>
        <w:tc>
          <w:tcPr>
            <w:tcW w:w="2122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259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2797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4811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Требуется перейти в судебное разбирательство?</w:t>
            </w:r>
          </w:p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 xml:space="preserve"> </w:t>
            </w:r>
            <w:r>
              <w:rPr/>
              <w:t>Эксклюзивный открывающий шлюз</w:t>
            </w:r>
          </w:p>
        </w:tc>
        <w:tc>
          <w:tcPr>
            <w:tcW w:w="1835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6756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 xml:space="preserve">Требуется перейти в судебное разбирательство? </w:t>
            </w:r>
          </w:p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 xml:space="preserve">Если </w:t>
            </w:r>
            <w:r>
              <w:rPr/>
              <w:t>Да: переход к шагу 3</w:t>
            </w:r>
            <w:r>
              <w:rPr/>
              <w:t>6</w:t>
            </w:r>
          </w:p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Если</w:t>
            </w:r>
            <w:r>
              <w:rPr/>
              <w:t xml:space="preserve"> Нет: переход к шагу 3</w:t>
            </w:r>
            <w:r>
              <w:rPr/>
              <w:t>7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36</w:t>
            </w:r>
          </w:p>
        </w:tc>
        <w:tc>
          <w:tcPr>
            <w:tcW w:w="2122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259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2797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4811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Переход в процесс провести СЗ</w:t>
            </w:r>
          </w:p>
        </w:tc>
        <w:tc>
          <w:tcPr>
            <w:tcW w:w="1835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6756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Переход в процесс провести СЗ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37</w:t>
            </w:r>
          </w:p>
        </w:tc>
        <w:tc>
          <w:tcPr>
            <w:tcW w:w="2122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259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2797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4811" w:type="dxa"/>
            <w:tcBorders/>
            <w:vAlign w:val="center"/>
          </w:tcPr>
          <w:p>
            <w:r>
              <w:t>ТБП142.Сформировать правовую позицию по делу</w:t>
            </w:r>
          </w:p>
        </w:tc>
        <w:tc>
          <w:tcPr>
            <w:tcW w:w="1835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6756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 xml:space="preserve">Переход в типовой процесс "Сформировать правовую позицию по делу", </w:t>
            </w:r>
            <w:r>
              <w:rPr/>
              <w:t>в рамках которого система формирует рекомендацию судье по решению по делу на основе имеющихся данных, материалов дела.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38</w:t>
            </w:r>
          </w:p>
        </w:tc>
        <w:tc>
          <w:tcPr>
            <w:tcW w:w="2122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259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2797" w:type="dxa"/>
            <w:tcBorders/>
            <w:vAlign w:val="center"/>
          </w:tcPr>
          <w:p>
            <w:pPr>
              <w:pStyle w:val="BodyText"/>
              <w:pBdr/>
              <w:bidi w:val="0"/>
              <w:ind w:hanging="0" w:start="0" w:end="0"/>
              <w:jc w:val="start"/>
              <w:rPr/>
            </w:pPr>
            <w:r>
              <w:rPr/>
              <w:t>Определение о завершении конкурсного производства</w:t>
            </w:r>
          </w:p>
          <w:p>
            <w:pPr>
              <w:pStyle w:val="BodyText"/>
              <w:pBdr/>
              <w:bidi w:val="0"/>
              <w:ind w:hanging="0" w:start="0" w:end="0"/>
              <w:jc w:val="start"/>
              <w:rPr/>
            </w:pPr>
            <w:r>
              <w:rPr/>
              <w:t>Определение о прекращении производства по делу о банкротстве</w:t>
            </w:r>
          </w:p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4811" w:type="dxa"/>
            <w:tcBorders/>
            <w:vAlign w:val="center"/>
          </w:tcPr>
          <w:p>
            <w:r>
              <w:t>ТБП140.Рассмотреть по существу</w:t>
            </w:r>
          </w:p>
        </w:tc>
        <w:tc>
          <w:tcPr>
            <w:tcW w:w="1835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6756" w:type="dxa"/>
            <w:tcBorders/>
            <w:vAlign w:val="center"/>
          </w:tcPr>
          <w:p>
            <w:pPr>
              <w:pStyle w:val="Normal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Переход к типовому процессу "Рассмотреть по существу". В результате данного ТП судья принимает судебный акт. Согласно ч.1 ст. 149 Федерального закона от 26.10.2002 N 127-ФЗ:  Арбитражный суд вправе по своей инициативе назначить судебное заседание по рассмотрению вопроса о завершении конкурсного производства. Не позднее чем за пять дней до судебного заседания конкурсный управляющий обязан представить в арбитражный суд отчет о результатах проведения конкурсного производства.</w:t>
            </w:r>
          </w:p>
          <w:p>
            <w:pPr>
              <w:pStyle w:val="BodyText"/>
              <w:bidi w:val="0"/>
              <w:ind w:hanging="0" w:start="0" w:end="0"/>
              <w:jc w:val="start"/>
              <w:rPr/>
            </w:pPr>
            <w:r>
              <w:rPr/>
              <w:t>Определение о завершении конкурсного производства подлежит немедленному исполнению.</w:t>
            </w:r>
          </w:p>
          <w:p>
            <w:pPr>
              <w:pStyle w:val="BodyText"/>
              <w:pBdr/>
              <w:bidi w:val="0"/>
              <w:ind w:hanging="0" w:start="0" w:end="0"/>
              <w:jc w:val="start"/>
              <w:rPr/>
            </w:pPr>
            <w:r>
              <w:rPr/>
              <w:t>Определение о прекращении производства по делу о банкротстве подлежит немедленному исполнению.</w:t>
            </w:r>
          </w:p>
          <w:p>
            <w:pPr>
              <w:pStyle w:val="BodyText"/>
              <w:pBdr/>
              <w:bidi w:val="0"/>
              <w:ind w:hanging="0" w:start="0" w:end="0"/>
              <w:jc w:val="start"/>
              <w:rPr>
                <w:spacing w:val="0"/>
              </w:rPr>
            </w:pPr>
            <w:r>
              <w:rPr>
                <w:spacing w:val="0"/>
              </w:rPr>
              <w:t>В случае вынесения определения о прекращении производства по делу о банкротстве решение арбитражного суда о признании должника банкротом и об открытии конкурсного производства не подлежит дальнейшему исполнению.</w:t>
            </w:r>
          </w:p>
          <w:p>
            <w:pPr>
              <w:pStyle w:val="BodyText"/>
              <w:pBdr/>
              <w:bidi w:val="0"/>
              <w:ind w:hanging="0" w:start="0" w:end="0"/>
              <w:jc w:val="start"/>
              <w:rPr/>
            </w:pPr>
            <w:r>
              <w:rPr>
                <w:color w:val="000000"/>
                <w:spacing w:val="0"/>
              </w:rPr>
              <w:t>Арбитражный суд по истечении тридцати, но не позднее шестидесяти дней с даты вынесения определения арбитражного суда о завершении конкурсного производства направляет указанное определение в </w:t>
            </w:r>
            <w:r>
              <w:rPr>
                <w:spacing w:val="0"/>
              </w:rPr>
              <w:t>орган</w:t>
            </w:r>
            <w:r>
              <w:rPr>
                <w:color w:val="000000"/>
                <w:spacing w:val="0"/>
              </w:rPr>
              <w:t>, осуществляющий государственную регистрацию юридических лиц, заказным письмом с уведомлением о вручении. </w:t>
            </w:r>
            <w:r>
              <w:rPr>
                <w:spacing w:val="0"/>
              </w:rPr>
              <w:t>Согласно ч.3 ст. 149 Федерального закона от 26.10.2002 N 127-ФЗ:</w:t>
            </w:r>
          </w:p>
          <w:p>
            <w:pPr>
              <w:pStyle w:val="BodyText"/>
              <w:pBdr/>
              <w:bidi w:val="0"/>
              <w:ind w:hanging="0" w:start="0" w:end="0"/>
              <w:jc w:val="start"/>
              <w:rPr/>
            </w:pPr>
            <w:r>
              <w:rPr/>
              <w:t>Определение арбитражного суда о завершении конкурсного производства является основанием для внесения в единый государственный реестр юридических лиц записи о ликвидации должника. Соответствующая запись должна быть внесена в этот реестр не позднее чем через пять дней с даты представления указанного определения арбитражного суда в орган, осуществляющий государственную регистрацию юридических лиц. Определение арбитражного суда о завершении конкурсного производства может быть обжаловано до даты внесения записи о ликвидации должника в единый государственный реестр юридических лиц.</w:t>
            </w:r>
          </w:p>
          <w:p>
            <w:pPr>
              <w:pStyle w:val="BodyText"/>
              <w:pBdr/>
              <w:bidi w:val="0"/>
              <w:ind w:hanging="0" w:start="0" w:end="0"/>
              <w:jc w:val="start"/>
              <w:rPr/>
            </w:pPr>
            <w:r>
              <w:rPr/>
              <w:t>Обжалование определения арбитражного суда о завершении конкурсного производства приостанавливает исполнение этого определения.</w:t>
            </w:r>
          </w:p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39</w:t>
            </w:r>
          </w:p>
        </w:tc>
        <w:tc>
          <w:tcPr>
            <w:tcW w:w="2122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259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2797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4811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Эксклюзивный закрывающий шлюз</w:t>
            </w:r>
          </w:p>
        </w:tc>
        <w:tc>
          <w:tcPr>
            <w:tcW w:w="1835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6756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Эксклюзивный закрывающий шлюз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40</w:t>
            </w:r>
          </w:p>
        </w:tc>
        <w:tc>
          <w:tcPr>
            <w:tcW w:w="2122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259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2797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4811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Необходимо дополнительное исследование доказательств или выяснение обстоятельств?. Эксклюзивный открывающий шлюз</w:t>
            </w:r>
          </w:p>
        </w:tc>
        <w:tc>
          <w:tcPr>
            <w:tcW w:w="1835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6756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 xml:space="preserve">Суд решает, необходимо ли дополнительное исследование доказательств или выяснение обстоятельств. </w:t>
            </w:r>
          </w:p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 xml:space="preserve">Если </w:t>
            </w:r>
            <w:r>
              <w:rPr/>
              <w:t>Да: переход к шагу 4</w:t>
            </w:r>
            <w:r>
              <w:rPr/>
              <w:t>1</w:t>
            </w:r>
          </w:p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Если</w:t>
            </w:r>
            <w:r>
              <w:rPr/>
              <w:t xml:space="preserve"> Нет: переход к шагу </w:t>
            </w:r>
            <w:r>
              <w:rPr/>
              <w:t>42</w:t>
            </w:r>
            <w:r>
              <w:rPr/>
              <w:t>. Эксклюзивный открывающий шлюз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41</w:t>
            </w:r>
          </w:p>
        </w:tc>
        <w:tc>
          <w:tcPr>
            <w:tcW w:w="2122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259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2797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4811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Переход к основной схеме в зависимости от процедуры банкротства</w:t>
            </w:r>
          </w:p>
        </w:tc>
        <w:tc>
          <w:tcPr>
            <w:tcW w:w="1835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6756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Переход к основной схеме в зависимости от процедуры банкротства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42</w:t>
            </w:r>
          </w:p>
        </w:tc>
        <w:tc>
          <w:tcPr>
            <w:tcW w:w="2122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Система</w:t>
            </w:r>
          </w:p>
        </w:tc>
        <w:tc>
          <w:tcPr>
            <w:tcW w:w="2259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2797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4811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Сохранить данные</w:t>
            </w:r>
          </w:p>
        </w:tc>
        <w:tc>
          <w:tcPr>
            <w:tcW w:w="1835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6756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 xml:space="preserve">Система сохраняет данные по итогу работы с делом/номенклатурным делом 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43</w:t>
            </w:r>
          </w:p>
        </w:tc>
        <w:tc>
          <w:tcPr>
            <w:tcW w:w="2122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Суд</w:t>
            </w:r>
          </w:p>
        </w:tc>
        <w:tc>
          <w:tcPr>
            <w:tcW w:w="2259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2797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4811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 xml:space="preserve">Завершение процесса. </w:t>
            </w:r>
            <w:r>
              <w:rPr/>
              <w:t>Конкурсное производство завершено</w:t>
            </w:r>
          </w:p>
        </w:tc>
        <w:tc>
          <w:tcPr>
            <w:tcW w:w="1835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6756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 xml:space="preserve">Завершение процесса. </w:t>
            </w:r>
            <w:r>
              <w:rPr/>
              <w:t>Конкурсное производство завершено</w:t>
            </w:r>
          </w:p>
        </w:tc>
      </w:tr>
    </w:tbl>
    <w:p>
      <w:pPr>
        <w:pStyle w:val="Heading2"/>
        <w:bidi w:val="0"/>
        <w:jc w:val="start"/>
        <w:rPr/>
      </w:pPr>
      <w:r>
        <w:rPr/>
        <w:t>4. Пользователи и роли</w:t>
      </w:r>
    </w:p>
    <w:tbl>
      <w:tblPr>
        <w:tblW w:w="2200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676"/>
        <w:gridCol w:w="17333"/>
      </w:tblGrid>
      <w:tr>
        <w:trPr>
          <w:tblHeader w:val="true"/>
        </w:trPr>
        <w:tc>
          <w:tcPr>
            <w:tcW w:w="4676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Бизнес-роль (с указанием суда/инстанции/иного административного органа)</w:t>
            </w:r>
          </w:p>
        </w:tc>
        <w:tc>
          <w:tcPr>
            <w:tcW w:w="17333" w:type="dxa"/>
            <w:tcBorders/>
            <w:vAlign w:val="center"/>
          </w:tcPr>
          <w:p>
            <w:pPr>
              <w:pStyle w:val="Style14"/>
              <w:bidi w:val="0"/>
              <w:jc w:val="start"/>
              <w:rPr/>
            </w:pPr>
            <w:r>
              <w:rPr/>
              <w:t>Выполняемые действия/функция</w:t>
            </w:r>
          </w:p>
        </w:tc>
      </w:tr>
      <w:tr>
        <w:trPr/>
        <w:tc>
          <w:tcPr>
            <w:tcW w:w="4676" w:type="dxa"/>
            <w:tcBorders/>
            <w:vAlign w:val="center"/>
          </w:tcPr>
          <w:p>
            <w:pPr>
              <w:pStyle w:val="Style13"/>
              <w:widowControl w:val="false"/>
              <w:suppressLineNumbers/>
              <w:bidi w:val="0"/>
              <w:jc w:val="start"/>
              <w:rPr/>
            </w:pPr>
            <w:r>
              <w:rPr/>
              <w:t>Судья</w:t>
            </w:r>
          </w:p>
        </w:tc>
        <w:tc>
          <w:tcPr>
            <w:tcW w:w="17333" w:type="dxa"/>
            <w:tcBorders/>
            <w:vAlign w:val="center"/>
          </w:tcPr>
          <w:p>
            <w:pPr>
              <w:pStyle w:val="Style13"/>
              <w:widowControl w:val="false"/>
              <w:suppressLineNumbers/>
              <w:bidi w:val="0"/>
              <w:jc w:val="start"/>
              <w:rPr/>
            </w:pPr>
            <w:r>
              <w:rPr/>
              <w:t>Обеспечение тайны совещательной комнаты, определение применимых норм права, проверка погашения требований кредиторов, проверка деятельности арбитражного управляющего, принятие решения о завершении конкурсного производства, оформление судебного акта, контроль полноты рассмотрения ходатайств и заявлений, рассмотрение особых споров, внесение данных в информационную систему суда</w:t>
            </w:r>
          </w:p>
        </w:tc>
      </w:tr>
      <w:tr>
        <w:trPr/>
        <w:tc>
          <w:tcPr>
            <w:tcW w:w="4676" w:type="dxa"/>
            <w:tcBorders/>
            <w:vAlign w:val="center"/>
          </w:tcPr>
          <w:p>
            <w:pPr>
              <w:pStyle w:val="Style13"/>
              <w:widowControl w:val="false"/>
              <w:suppressLineNumbers/>
              <w:bidi w:val="0"/>
              <w:jc w:val="start"/>
              <w:rPr/>
            </w:pPr>
            <w:r>
              <w:rPr/>
              <w:t>Система</w:t>
            </w:r>
          </w:p>
        </w:tc>
        <w:tc>
          <w:tcPr>
            <w:tcW w:w="17333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/>
              <w:t xml:space="preserve">Задать судье вопрос о тайне совещательной, Закрыть доступ к вынесению СА, Сохранить информацию о подтверждении соблюдении тайны, Определить законы и НПА подлежащие применению, Установить содержание норм права в официальном толковании, Установить содержание норм права в судебной практике, Указать в СА необходимые идентифицирующие реквизиты, Указать в СА реквизиты для оплаты АУ, Сохранить данные. </w:t>
            </w:r>
          </w:p>
        </w:tc>
      </w:tr>
    </w:tbl>
    <w:p>
      <w:pPr>
        <w:pStyle w:val="Heading2"/>
        <w:bidi w:val="0"/>
        <w:jc w:val="start"/>
        <w:rPr/>
      </w:pPr>
      <w:r>
        <w:rPr/>
        <w:t>5. Реестр справочников</w:t>
      </w:r>
    </w:p>
    <w:p>
      <w:pPr>
        <w:pStyle w:val="BodyText"/>
        <w:bidi w:val="0"/>
        <w:ind w:hanging="0" w:start="0" w:end="0"/>
        <w:jc w:val="start"/>
        <w:rPr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Emphasis"/>
        </w:rPr>
        <w:t>Справочники (классификаторы) ПК САД</w:t>
      </w:r>
    </w:p>
    <w:p>
      <w:pPr>
        <w:pStyle w:val="Heading2"/>
        <w:bidi w:val="0"/>
        <w:jc w:val="start"/>
        <w:rPr/>
      </w:pPr>
      <w:r>
        <w:rPr/>
        <w:t>6. Процессуальные документы</w:t>
      </w:r>
    </w:p>
    <w:p>
      <w:pPr>
        <w:pStyle w:val="Heading3"/>
        <w:bidi w:val="0"/>
        <w:jc w:val="start"/>
        <w:rPr/>
      </w:pPr>
      <w:r>
        <w:rPr/>
        <w:t>6.1. Документы рассмотрения</w:t>
      </w:r>
    </w:p>
    <w:tbl>
      <w:tblPr>
        <w:tblW w:w="1602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81"/>
        <w:gridCol w:w="1738"/>
        <w:gridCol w:w="5386"/>
        <w:gridCol w:w="2866"/>
        <w:gridCol w:w="5251"/>
      </w:tblGrid>
      <w:tr>
        <w:trPr>
          <w:tblHeader w:val="true"/>
        </w:trPr>
        <w:tc>
          <w:tcPr>
            <w:tcW w:w="781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 xml:space="preserve">№ </w:t>
            </w:r>
            <w:r>
              <w:rPr/>
              <w:t>п/п</w:t>
            </w:r>
          </w:p>
        </w:tc>
        <w:tc>
          <w:tcPr>
            <w:tcW w:w="1738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Вид документа</w:t>
            </w:r>
          </w:p>
        </w:tc>
        <w:tc>
          <w:tcPr>
            <w:tcW w:w="5386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Наименование документа</w:t>
            </w:r>
          </w:p>
        </w:tc>
        <w:tc>
          <w:tcPr>
            <w:tcW w:w="2866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Форма (печатная/устная)</w:t>
            </w:r>
          </w:p>
        </w:tc>
        <w:tc>
          <w:tcPr>
            <w:tcW w:w="5251" w:type="dxa"/>
            <w:tcBorders/>
            <w:vAlign w:val="center"/>
          </w:tcPr>
          <w:p>
            <w:pPr>
              <w:pStyle w:val="Style14"/>
              <w:bidi w:val="0"/>
              <w:jc w:val="start"/>
              <w:rPr/>
            </w:pPr>
            <w:r>
              <w:rPr/>
              <w:t>Образец / ссылка на облако, где располагается</w:t>
            </w:r>
          </w:p>
        </w:tc>
      </w:tr>
      <w:tr>
        <w:trPr/>
        <w:tc>
          <w:tcPr>
            <w:tcW w:w="781" w:type="dxa"/>
            <w:tcBorders/>
            <w:vAlign w:val="center"/>
          </w:tcPr>
          <w:p>
            <w:pPr>
              <w:pStyle w:val="Style13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738" w:type="dxa"/>
            <w:tcBorders/>
            <w:vAlign w:val="center"/>
          </w:tcPr>
          <w:p>
            <w:pPr>
              <w:pStyle w:val="Style13"/>
              <w:widowControl w:val="false"/>
              <w:suppressLineNumbers/>
              <w:bidi w:val="0"/>
              <w:jc w:val="start"/>
              <w:rPr/>
            </w:pPr>
            <w:r>
              <w:rPr/>
              <w:t>Заявление</w:t>
            </w:r>
          </w:p>
        </w:tc>
        <w:tc>
          <w:tcPr>
            <w:tcW w:w="5386" w:type="dxa"/>
            <w:tcBorders/>
            <w:vAlign w:val="center"/>
          </w:tcPr>
          <w:p>
            <w:pPr>
              <w:pStyle w:val="Style13"/>
              <w:widowControl w:val="false"/>
              <w:suppressLineNumbers/>
              <w:bidi w:val="0"/>
              <w:jc w:val="start"/>
              <w:rPr/>
            </w:pPr>
            <w:r>
              <w:rPr/>
              <w:t>Заявление о завершении конкурсного производства</w:t>
            </w:r>
          </w:p>
        </w:tc>
        <w:tc>
          <w:tcPr>
            <w:tcW w:w="2866" w:type="dxa"/>
            <w:tcBorders/>
            <w:vAlign w:val="center"/>
          </w:tcPr>
          <w:p>
            <w:pPr>
              <w:pStyle w:val="Style13"/>
              <w:widowControl w:val="false"/>
              <w:suppressLineNumbers/>
              <w:bidi w:val="0"/>
              <w:jc w:val="start"/>
              <w:rPr/>
            </w:pPr>
            <w:r>
              <w:rPr/>
              <w:t>Печатная</w:t>
            </w:r>
          </w:p>
        </w:tc>
        <w:tc>
          <w:tcPr>
            <w:tcW w:w="5251" w:type="dxa"/>
            <w:tcBorders/>
            <w:vAlign w:val="center"/>
          </w:tcPr>
          <w:p>
            <w:pPr>
              <w:pStyle w:val="Style13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</w:tr>
    </w:tbl>
    <w:p>
      <w:pPr>
        <w:pStyle w:val="Heading3"/>
        <w:bidi w:val="0"/>
        <w:jc w:val="start"/>
        <w:rPr/>
      </w:pPr>
      <w:r>
        <w:rPr/>
        <w:t>6.2. Судебные акты</w:t>
      </w:r>
    </w:p>
    <w:tbl>
      <w:tblPr>
        <w:tblW w:w="1915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81"/>
        <w:gridCol w:w="1738"/>
        <w:gridCol w:w="6862"/>
        <w:gridCol w:w="4258"/>
        <w:gridCol w:w="2338"/>
        <w:gridCol w:w="3175"/>
      </w:tblGrid>
      <w:tr>
        <w:trPr>
          <w:tblHeader w:val="true"/>
        </w:trPr>
        <w:tc>
          <w:tcPr>
            <w:tcW w:w="781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 xml:space="preserve">№ </w:t>
            </w:r>
            <w:r>
              <w:rPr/>
              <w:t>п/п</w:t>
            </w:r>
          </w:p>
        </w:tc>
        <w:tc>
          <w:tcPr>
            <w:tcW w:w="1738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Вид документа</w:t>
            </w:r>
          </w:p>
        </w:tc>
        <w:tc>
          <w:tcPr>
            <w:tcW w:w="6862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Наименование документа</w:t>
            </w:r>
          </w:p>
        </w:tc>
        <w:tc>
          <w:tcPr>
            <w:tcW w:w="4258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Форма (протокольное/отдельный СА)</w:t>
            </w:r>
          </w:p>
        </w:tc>
        <w:tc>
          <w:tcPr>
            <w:tcW w:w="2338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Обжалуется (да/нет)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Style14"/>
              <w:bidi w:val="0"/>
              <w:jc w:val="start"/>
              <w:rPr/>
            </w:pPr>
            <w:r>
              <w:rPr/>
              <w:t>Образец / ссылка на облако</w:t>
            </w:r>
          </w:p>
        </w:tc>
      </w:tr>
      <w:tr>
        <w:trPr/>
        <w:tc>
          <w:tcPr>
            <w:tcW w:w="781" w:type="dxa"/>
            <w:tcBorders/>
            <w:vAlign w:val="center"/>
          </w:tcPr>
          <w:p>
            <w:pPr>
              <w:pStyle w:val="Style13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738" w:type="dxa"/>
            <w:tcBorders/>
            <w:vAlign w:val="center"/>
          </w:tcPr>
          <w:p>
            <w:pPr>
              <w:pStyle w:val="Style13"/>
              <w:widowControl w:val="false"/>
              <w:suppressLineNumbers/>
              <w:bidi w:val="0"/>
              <w:jc w:val="start"/>
              <w:rPr/>
            </w:pPr>
            <w:r>
              <w:rPr/>
              <w:t>Определение</w:t>
            </w:r>
          </w:p>
        </w:tc>
        <w:tc>
          <w:tcPr>
            <w:tcW w:w="6862" w:type="dxa"/>
            <w:tcBorders/>
            <w:vAlign w:val="center"/>
          </w:tcPr>
          <w:p>
            <w:pPr>
              <w:pStyle w:val="Style13"/>
              <w:widowControl w:val="false"/>
              <w:suppressLineNumbers/>
              <w:bidi w:val="0"/>
              <w:jc w:val="start"/>
              <w:rPr/>
            </w:pPr>
            <w:r>
              <w:rPr/>
              <w:t>Определение о завершении конкурсного производства</w:t>
            </w:r>
          </w:p>
        </w:tc>
        <w:tc>
          <w:tcPr>
            <w:tcW w:w="4258" w:type="dxa"/>
            <w:tcBorders/>
            <w:vAlign w:val="center"/>
          </w:tcPr>
          <w:p>
            <w:pPr>
              <w:pStyle w:val="Style13"/>
              <w:widowControl w:val="false"/>
              <w:suppressLineNumbers/>
              <w:bidi w:val="0"/>
              <w:jc w:val="start"/>
              <w:rPr/>
            </w:pPr>
            <w:r>
              <w:rPr/>
              <w:t>Отдельный СА</w:t>
            </w:r>
          </w:p>
        </w:tc>
        <w:tc>
          <w:tcPr>
            <w:tcW w:w="2338" w:type="dxa"/>
            <w:tcBorders/>
            <w:vAlign w:val="center"/>
          </w:tcPr>
          <w:p>
            <w:pPr>
              <w:pStyle w:val="Style13"/>
              <w:widowControl w:val="false"/>
              <w:suppressLineNumbers/>
              <w:bidi w:val="0"/>
              <w:jc w:val="start"/>
              <w:rPr/>
            </w:pPr>
            <w:r>
              <w:rPr/>
              <w:t>Да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Style13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781" w:type="dxa"/>
            <w:tcBorders/>
            <w:vAlign w:val="center"/>
          </w:tcPr>
          <w:p>
            <w:pPr>
              <w:pStyle w:val="Style13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1738" w:type="dxa"/>
            <w:tcBorders/>
            <w:vAlign w:val="center"/>
          </w:tcPr>
          <w:p>
            <w:pPr>
              <w:pStyle w:val="Style13"/>
              <w:widowControl w:val="false"/>
              <w:suppressLineNumbers/>
              <w:bidi w:val="0"/>
              <w:jc w:val="start"/>
              <w:rPr/>
            </w:pPr>
            <w:r>
              <w:rPr/>
              <w:t>Определение</w:t>
            </w:r>
          </w:p>
        </w:tc>
        <w:tc>
          <w:tcPr>
            <w:tcW w:w="6862" w:type="dxa"/>
            <w:tcBorders/>
            <w:vAlign w:val="center"/>
          </w:tcPr>
          <w:p>
            <w:pPr>
              <w:pStyle w:val="Style13"/>
              <w:widowControl w:val="false"/>
              <w:suppressLineNumbers/>
              <w:bidi w:val="0"/>
              <w:jc w:val="start"/>
              <w:rPr/>
            </w:pPr>
            <w:r>
              <w:rPr/>
              <w:t>Определение о прекращении производства по делу о банкротстве</w:t>
            </w:r>
          </w:p>
        </w:tc>
        <w:tc>
          <w:tcPr>
            <w:tcW w:w="4258" w:type="dxa"/>
            <w:tcBorders/>
            <w:vAlign w:val="center"/>
          </w:tcPr>
          <w:p>
            <w:pPr>
              <w:pStyle w:val="Style13"/>
              <w:widowControl w:val="false"/>
              <w:suppressLineNumbers/>
              <w:bidi w:val="0"/>
              <w:jc w:val="start"/>
              <w:rPr/>
            </w:pPr>
            <w:r>
              <w:rPr/>
              <w:t>Отдельный СА</w:t>
            </w:r>
          </w:p>
        </w:tc>
        <w:tc>
          <w:tcPr>
            <w:tcW w:w="2338" w:type="dxa"/>
            <w:tcBorders/>
            <w:vAlign w:val="center"/>
          </w:tcPr>
          <w:p>
            <w:pPr>
              <w:pStyle w:val="Style13"/>
              <w:widowControl w:val="false"/>
              <w:suppressLineNumbers/>
              <w:bidi w:val="0"/>
              <w:jc w:val="start"/>
              <w:rPr/>
            </w:pPr>
            <w:r>
              <w:rPr/>
              <w:t>Да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Style13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</w:tr>
    </w:tbl>
    <w:p>
      <w:pPr>
        <w:pStyle w:val="Heading2"/>
        <w:bidi w:val="0"/>
        <w:jc w:val="start"/>
        <w:rPr/>
      </w:pPr>
      <w:r>
        <w:rPr/>
        <w:t>7. Межведомственное взаимодействие</w:t>
      </w:r>
    </w:p>
    <w:p>
      <w:pPr>
        <w:pStyle w:val="BodyText"/>
        <w:bidi w:val="0"/>
        <w:ind w:hanging="0" w:start="0" w:end="0"/>
        <w:jc w:val="start"/>
        <w:rPr>
          <w:color w:val="172B4D"/>
        </w:rPr>
      </w:pPr>
      <w:r>
        <w:rPr>
          <w:color w:val="172B4D"/>
        </w:rPr>
        <w:t>Межведомственное взаимодействие содержится в схемах типовых процессов.</w:t>
      </w:r>
    </w:p>
    <w:p>
      <w:pPr>
        <w:pStyle w:val="Heading2"/>
        <w:bidi w:val="0"/>
        <w:jc w:val="start"/>
        <w:rPr/>
      </w:pPr>
      <w:r>
        <w:rPr/>
        <w:t>8. Информация о сроках</w:t>
      </w:r>
    </w:p>
    <w:tbl>
      <w:tblPr>
        <w:tblW w:w="2200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24"/>
        <w:gridCol w:w="6839"/>
        <w:gridCol w:w="9610"/>
        <w:gridCol w:w="4136"/>
      </w:tblGrid>
      <w:tr>
        <w:trPr>
          <w:tblHeader w:val="true"/>
        </w:trPr>
        <w:tc>
          <w:tcPr>
            <w:tcW w:w="142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Шаг процесса</w:t>
            </w:r>
          </w:p>
        </w:tc>
        <w:tc>
          <w:tcPr>
            <w:tcW w:w="6839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Описание действия, для которого установлен срок</w:t>
            </w:r>
          </w:p>
        </w:tc>
        <w:tc>
          <w:tcPr>
            <w:tcW w:w="961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Срок (год, месяц, день)</w:t>
            </w:r>
          </w:p>
        </w:tc>
        <w:tc>
          <w:tcPr>
            <w:tcW w:w="4136" w:type="dxa"/>
            <w:tcBorders/>
            <w:vAlign w:val="center"/>
          </w:tcPr>
          <w:p>
            <w:pPr>
              <w:pStyle w:val="Style14"/>
              <w:bidi w:val="0"/>
              <w:jc w:val="start"/>
              <w:rPr/>
            </w:pPr>
            <w:r>
              <w:rPr/>
              <w:t>Каким правовым актом установлен (при наличии)</w:t>
            </w:r>
          </w:p>
        </w:tc>
      </w:tr>
      <w:tr>
        <w:trPr/>
        <w:tc>
          <w:tcPr>
            <w:tcW w:w="1424" w:type="dxa"/>
            <w:tcBorders/>
            <w:vAlign w:val="center"/>
          </w:tcPr>
          <w:p>
            <w:pPr>
              <w:pStyle w:val="Style13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6839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>
                <w:color w:val="000000"/>
              </w:rPr>
              <w:t>Направить определение в </w:t>
            </w:r>
            <w:r>
              <w:rPr/>
              <w:t>орган</w:t>
            </w:r>
            <w:r>
              <w:rPr>
                <w:color w:val="000000"/>
              </w:rPr>
              <w:t>, осуществляющий государственную регистрацию юридических лиц</w:t>
            </w:r>
          </w:p>
        </w:tc>
        <w:tc>
          <w:tcPr>
            <w:tcW w:w="9610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по истечении тридцати, но не позднее шестидесяти дней с даты вынесения определения арбитражного суда о завершении конкурсного производства</w:t>
            </w:r>
          </w:p>
        </w:tc>
        <w:tc>
          <w:tcPr>
            <w:tcW w:w="4136" w:type="dxa"/>
            <w:tcBorders/>
            <w:vAlign w:val="center"/>
          </w:tcPr>
          <w:p>
            <w:pPr>
              <w:pStyle w:val="Style13"/>
              <w:widowControl w:val="false"/>
              <w:suppressLineNumbers/>
              <w:bidi w:val="0"/>
              <w:jc w:val="start"/>
              <w:rPr/>
            </w:pPr>
            <w:r>
              <w:rPr/>
              <w:t>ч.2 ст. 149 Федерального закона от 26.10.2002 N 127-ФЗ:</w:t>
            </w:r>
          </w:p>
        </w:tc>
      </w:tr>
      <w:tr>
        <w:trPr/>
        <w:tc>
          <w:tcPr>
            <w:tcW w:w="1424" w:type="dxa"/>
            <w:tcBorders/>
            <w:vAlign w:val="center"/>
          </w:tcPr>
          <w:p>
            <w:pPr>
              <w:pStyle w:val="Style13"/>
              <w:widowControl w:val="false"/>
              <w:suppressLineNumbers/>
              <w:bidi w:val="0"/>
              <w:jc w:val="start"/>
              <w:rPr/>
            </w:pPr>
            <w:r>
              <w:rPr/>
              <w:t>35</w:t>
            </w:r>
          </w:p>
        </w:tc>
        <w:tc>
          <w:tcPr>
            <w:tcW w:w="683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start"/>
              <w:rPr/>
            </w:pPr>
            <w:r>
              <w:rPr/>
              <w:t>Вынесение определения о завершении конкурсного производства </w:t>
            </w:r>
          </w:p>
          <w:p>
            <w:pPr>
              <w:pStyle w:val="Style13"/>
              <w:bidi w:val="0"/>
              <w:spacing w:before="0" w:after="283"/>
              <w:jc w:val="start"/>
              <w:rPr/>
            </w:pPr>
            <w:r>
              <w:rPr/>
              <w:t>Вынесение определения о прекращении производства по делу о банкротстве </w:t>
            </w:r>
          </w:p>
        </w:tc>
        <w:tc>
          <w:tcPr>
            <w:tcW w:w="9610" w:type="dxa"/>
            <w:tcBorders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Немедленное исполнение</w:t>
            </w:r>
          </w:p>
        </w:tc>
        <w:tc>
          <w:tcPr>
            <w:tcW w:w="4136" w:type="dxa"/>
            <w:tcBorders/>
            <w:vAlign w:val="center"/>
          </w:tcPr>
          <w:p>
            <w:pPr>
              <w:pStyle w:val="Style13"/>
              <w:widowControl w:val="false"/>
              <w:suppressLineNumbers/>
              <w:bidi w:val="0"/>
              <w:jc w:val="start"/>
              <w:rPr/>
            </w:pPr>
            <w:r>
              <w:rPr/>
              <w:t>ч.2 ст. 149 Федерального закона от 26.10.2002 N 127-ФЗ: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1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Style11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Style11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Emphasis">
    <w:name w:val="Emphasis"/>
    <w:qFormat/>
    <w:rPr>
      <w:i/>
      <w:iCs/>
    </w:rPr>
  </w:style>
  <w:style w:type="character" w:styleId="Hyperlink">
    <w:name w:val="Hyperlink"/>
    <w:rPr>
      <w:color w:val="000080"/>
      <w:u w:val="single"/>
    </w:rPr>
  </w:style>
  <w:style w:type="paragraph" w:styleId="Style1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Arial"/>
    </w:rPr>
  </w:style>
  <w:style w:type="paragraph" w:styleId="Style13">
    <w:name w:val="Содержимое таблицы"/>
    <w:basedOn w:val="Normal"/>
    <w:qFormat/>
    <w:pPr>
      <w:widowControl w:val="false"/>
      <w:suppressLineNumbers/>
    </w:pPr>
    <w:rPr/>
  </w:style>
  <w:style w:type="paragraph" w:styleId="Style14">
    <w:name w:val="Заголовок таблицы"/>
    <w:basedOn w:val="Style13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37</TotalTime>
  <Application>LibreOffice/7.6.4.1$Windows_X86_64 LibreOffice_project/e19e193f88cd6c0525a17fb7a176ed8e6a3e2aa1</Application>
  <AppVersion>15.0000</AppVersion>
  <Pages>1</Pages>
  <Words>1670</Words>
  <Characters>11215</Characters>
  <CharactersWithSpaces>12640</CharactersWithSpaces>
  <Paragraphs>415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2025-10-28T08:20:02Z</dcterms:created>
  <dc:creator/>
  <dc:description/>
  <dc:language>ru-RU</dc:language>
  <cp:lastModifiedBy/>
  <dcterms:modified xsi:type="dcterms:W3CDTF">2025-10-28T08:57:53Z</dcterms:modified>
  <cp:revision>6</cp:revision>
  <dc:subject/>
  <dc:title/>
</cp:coreProperties>
</file>