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745E68" w:rsidRDefault="001F6326">
      <w:pPr>
        <w:pStyle w:val="a3"/>
        <w:rPr>
          <w:b/>
        </w:rPr>
      </w:pPr>
      <w:r w:rsidRPr="00745E68">
        <w:t xml:space="preserve">ТБП19:Проверить подсудность </w:t>
      </w:r>
      <w:r w:rsidR="006615A5" w:rsidRPr="00745E68">
        <w:t>TO BE</w:t>
      </w:r>
    </w:p>
    <w:p w:rsidR="006A0B97" w:rsidRPr="00745E68" w:rsidRDefault="006A0B97">
      <w:pPr>
        <w:pStyle w:val="a3"/>
        <w:spacing w:before="86"/>
        <w:rPr>
          <w:b/>
        </w:rPr>
      </w:pPr>
    </w:p>
    <w:tbl>
      <w:tblPr>
        <w:tblStyle w:val="TableNormal"/>
        <w:tblW w:w="0" w:type="auto"/>
        <w:tblInd w:w="-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 w:rsidR="006A0B97" w:rsidRPr="00745E68" w:rsidTr="001B0B74">
        <w:trPr>
          <w:trHeight w:val="610"/>
        </w:trPr>
        <w:tc>
          <w:tcPr>
            <w:tcW w:w="158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745E68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6A0B97" w:rsidRPr="00745E68" w:rsidRDefault="001F6326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745E68">
              <w:rPr>
                <w:sz w:val="24"/>
                <w:szCs w:val="24"/>
              </w:rPr>
              <w:t>ТБП19:Проверить подсудность</w:t>
            </w:r>
          </w:p>
        </w:tc>
      </w:tr>
      <w:tr w:rsidR="006A0B97" w:rsidRPr="00745E68" w:rsidTr="001B0B74">
        <w:trPr>
          <w:trHeight w:val="409"/>
        </w:trPr>
        <w:tc>
          <w:tcPr>
            <w:tcW w:w="158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745E68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745E68">
              <w:rPr>
                <w:b/>
                <w:w w:val="90"/>
                <w:sz w:val="24"/>
                <w:szCs w:val="24"/>
              </w:rPr>
              <w:t>Суть</w:t>
            </w:r>
            <w:r w:rsidRPr="00745E68">
              <w:rPr>
                <w:b/>
                <w:spacing w:val="3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745E68" w:rsidRDefault="001F6326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745E68">
              <w:rPr>
                <w:color w:val="22313F"/>
                <w:sz w:val="24"/>
                <w:szCs w:val="24"/>
                <w:shd w:val="clear" w:color="auto" w:fill="FFFFFF"/>
              </w:rPr>
              <w:t>Определение, относится ли дело к компетенции данного суда.</w:t>
            </w:r>
          </w:p>
        </w:tc>
      </w:tr>
      <w:tr w:rsidR="006A0B97" w:rsidRPr="00745E68" w:rsidTr="001B0B74">
        <w:trPr>
          <w:trHeight w:val="61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745E68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745E68" w:rsidRDefault="001F6326" w:rsidP="00383BA4">
            <w:pPr>
              <w:rPr>
                <w:sz w:val="24"/>
                <w:szCs w:val="24"/>
                <w:lang w:val="en-US"/>
              </w:rPr>
            </w:pPr>
            <w:r w:rsidRPr="00745E68">
              <w:rPr>
                <w:color w:val="161616"/>
                <w:sz w:val="24"/>
                <w:szCs w:val="24"/>
                <w:shd w:val="clear" w:color="auto" w:fill="FFFFFF"/>
              </w:rPr>
              <w:t>Судья, помощник судьи</w:t>
            </w:r>
          </w:p>
        </w:tc>
      </w:tr>
      <w:tr w:rsidR="006A0B97" w:rsidRPr="00745E68" w:rsidTr="001B0B74">
        <w:trPr>
          <w:trHeight w:val="105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745E68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1F6326" w:rsidRPr="00745E68" w:rsidRDefault="001F6326" w:rsidP="001F6326">
            <w:pPr>
              <w:pStyle w:val="a9"/>
              <w:shd w:val="clear" w:color="auto" w:fill="FFFFFF"/>
              <w:spacing w:before="0" w:beforeAutospacing="0" w:after="0" w:afterAutospacing="0" w:line="240" w:lineRule="atLeast"/>
              <w:rPr>
                <w:color w:val="22313F"/>
              </w:rPr>
            </w:pPr>
            <w:r w:rsidRPr="00745E68">
              <w:rPr>
                <w:color w:val="22313F"/>
              </w:rPr>
              <w:t>Арбитражный процессуальный кодекс Российской Федерации от 24.07.2002 N 95-ФЗ (ред. от 01.04.2025)</w:t>
            </w:r>
          </w:p>
          <w:p w:rsidR="006A0B97" w:rsidRPr="00745E68" w:rsidRDefault="001F6326" w:rsidP="001F6326">
            <w:pPr>
              <w:pStyle w:val="a9"/>
              <w:shd w:val="clear" w:color="auto" w:fill="FFFFFF"/>
              <w:spacing w:before="0" w:beforeAutospacing="0" w:after="0" w:afterAutospacing="0" w:line="240" w:lineRule="atLeast"/>
              <w:rPr>
                <w:color w:val="22313F"/>
              </w:rPr>
            </w:pPr>
            <w:r w:rsidRPr="00745E68">
              <w:rPr>
                <w:color w:val="22313F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6A0B97" w:rsidRPr="00745E68" w:rsidRDefault="006A0B97">
      <w:pPr>
        <w:pStyle w:val="a3"/>
        <w:spacing w:before="38"/>
        <w:rPr>
          <w:b/>
        </w:rPr>
      </w:pPr>
    </w:p>
    <w:p w:rsidR="006A0B97" w:rsidRPr="00745E68" w:rsidRDefault="006A255B">
      <w:pPr>
        <w:pStyle w:val="a3"/>
        <w:ind w:left="240"/>
      </w:pPr>
      <w:r w:rsidRPr="00745E68">
        <w:t xml:space="preserve">1. Реестр </w:t>
      </w:r>
      <w:r w:rsidRPr="00745E68">
        <w:rPr>
          <w:spacing w:val="-5"/>
        </w:rPr>
        <w:t>US</w:t>
      </w:r>
    </w:p>
    <w:p w:rsidR="006A0B97" w:rsidRPr="00745E68" w:rsidRDefault="006A0B97">
      <w:pPr>
        <w:pStyle w:val="a3"/>
        <w:spacing w:before="3"/>
      </w:pPr>
    </w:p>
    <w:tbl>
      <w:tblPr>
        <w:tblW w:w="12400" w:type="dxa"/>
        <w:tblInd w:w="-8" w:type="dxa"/>
        <w:tblLook w:val="04A0" w:firstRow="1" w:lastRow="0" w:firstColumn="1" w:lastColumn="0" w:noHBand="0" w:noVBand="1"/>
      </w:tblPr>
      <w:tblGrid>
        <w:gridCol w:w="1300"/>
        <w:gridCol w:w="3700"/>
        <w:gridCol w:w="3700"/>
        <w:gridCol w:w="3700"/>
      </w:tblGrid>
      <w:tr w:rsidR="00E461DE" w:rsidRPr="00745E68" w:rsidTr="00E461DE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461DE" w:rsidRPr="00E461DE" w:rsidRDefault="00E461DE" w:rsidP="00E461D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461DE" w:rsidRPr="00E461DE" w:rsidRDefault="00E461DE" w:rsidP="00E461D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b/>
                <w:color w:val="000000"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461DE" w:rsidRPr="00E461DE" w:rsidRDefault="00E461DE" w:rsidP="00E461D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b/>
                <w:color w:val="000000"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461DE" w:rsidRPr="00E461DE" w:rsidRDefault="00E461DE" w:rsidP="00E461DE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b/>
                <w:color w:val="000000"/>
                <w:sz w:val="24"/>
                <w:szCs w:val="24"/>
                <w:lang w:eastAsia="ru-RU"/>
              </w:rPr>
              <w:t>ЧТОБЫ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проверить компетенцию суда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установить основание для рассмотрения дела или его передачи в другой суд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проверить родовую подсудность дела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определить, уполномочен ли данный суд рассматривать дело в качестве первой инстанции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информацию о составе участников спора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провести проверку подсудности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информацию о виде спора и распознанных требованиях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определить применимые правила подсудности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результат автоматической проверки соблюдения специализированной подсудности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выявить основания для передачи дела в СИП или суд округа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проверить выводы системы о специализированной подсудности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убедиться в корректности автоматического анализа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результат автоматической проверки наличия договорной подсудности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выявить соглашения сторон о рассмотрении спора в конкретном суде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проверить выводы системы о договорной подсудности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подтвердить или скорректировать результаты автоматического анализа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результат проверки наличия арбитражного соглашения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выявить основания для передачи дела в третейский суд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1B0B74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745E68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проверить выводы системы о наличии арбитражного соглашения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определить необходимость передачи дела в третейский суд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результат автоматической проверки территориальной подсудности по адресу ответчика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установить соответствие месту нахождения ответчика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получить от системы результат автоматической проверки подсудности по выбору истца и исключительной подсудности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выявить особые случаи территориальной подсудности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проверить выводы системы о территориальной подсудности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сделать окончательное заключение о соблюдении всех видов подсудности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обеспечить автоматическое сохранение системой всех данных о проверке подсудности в деле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обеспечить полную документацию процесса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определить, принято ли дело к производству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установить основание для передачи по подсудности или возвращения документов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инициировать проверку подсудности по указанию судьи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обеспечить своевременное начало процессуальных действий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использовать шаблон определения о передаче дела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оформить процессуальный документ в установленной форме</w:t>
            </w:r>
          </w:p>
        </w:tc>
      </w:tr>
      <w:tr w:rsidR="00E461DE" w:rsidRPr="00745E68" w:rsidTr="001B0B74">
        <w:trPr>
          <w:trHeight w:val="315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использовать шаблон определения о возвращении документов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61DE" w:rsidRPr="00E461DE" w:rsidRDefault="00E461DE" w:rsidP="001B0B74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E461DE">
              <w:rPr>
                <w:color w:val="000000"/>
                <w:sz w:val="24"/>
                <w:szCs w:val="24"/>
                <w:lang w:eastAsia="ru-RU"/>
              </w:rPr>
              <w:t>подготовить процессуальный документ при установлении соответствующих оснований</w:t>
            </w:r>
          </w:p>
        </w:tc>
      </w:tr>
    </w:tbl>
    <w:p w:rsidR="006A0B97" w:rsidRPr="00745E68" w:rsidRDefault="006A0B97">
      <w:pPr>
        <w:pStyle w:val="a3"/>
        <w:spacing w:before="45"/>
      </w:pPr>
    </w:p>
    <w:p w:rsidR="006A0B97" w:rsidRPr="00745E68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745E68">
        <w:rPr>
          <w:sz w:val="24"/>
          <w:szCs w:val="24"/>
        </w:rPr>
        <w:t>Схема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pacing w:val="-2"/>
          <w:sz w:val="24"/>
          <w:szCs w:val="24"/>
        </w:rPr>
        <w:t>процесса</w:t>
      </w:r>
    </w:p>
    <w:p w:rsidR="006A0B97" w:rsidRPr="00745E68" w:rsidRDefault="006A0B97">
      <w:pPr>
        <w:pStyle w:val="a3"/>
        <w:spacing w:before="63"/>
        <w:rPr>
          <w:lang w:val="en-US"/>
        </w:rPr>
      </w:pPr>
    </w:p>
    <w:p w:rsidR="006A0B97" w:rsidRPr="00745E68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745E68">
        <w:rPr>
          <w:sz w:val="24"/>
          <w:szCs w:val="24"/>
        </w:rPr>
        <w:t>Описание</w:t>
      </w:r>
      <w:r w:rsidRPr="00745E68">
        <w:rPr>
          <w:spacing w:val="-7"/>
          <w:sz w:val="24"/>
          <w:szCs w:val="24"/>
        </w:rPr>
        <w:t xml:space="preserve"> </w:t>
      </w:r>
      <w:r w:rsidRPr="00745E68">
        <w:rPr>
          <w:sz w:val="24"/>
          <w:szCs w:val="24"/>
        </w:rPr>
        <w:t>схемы</w:t>
      </w:r>
      <w:r w:rsidRPr="00745E68">
        <w:rPr>
          <w:spacing w:val="-6"/>
          <w:sz w:val="24"/>
          <w:szCs w:val="24"/>
        </w:rPr>
        <w:t xml:space="preserve"> </w:t>
      </w:r>
      <w:r w:rsidRPr="00745E68">
        <w:rPr>
          <w:spacing w:val="-2"/>
          <w:sz w:val="24"/>
          <w:szCs w:val="24"/>
        </w:rPr>
        <w:t>процесса</w:t>
      </w:r>
    </w:p>
    <w:tbl>
      <w:tblPr>
        <w:tblW w:w="15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089"/>
        <w:gridCol w:w="7938"/>
        <w:gridCol w:w="2976"/>
      </w:tblGrid>
      <w:tr w:rsidR="00C438F0" w:rsidRPr="00C438F0" w:rsidTr="00D47974">
        <w:trPr>
          <w:trHeight w:val="57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Необходимо проверить подсудность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в системе факт необходимости проверки подсудности по делу; результат: создано событие/статус «требуется проверка подсудности».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Запустить проверку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Запустить в системе процесс проверки подсудности по делу; результат: процесс инициирован и установлен статус «проверка подсудности выполняется».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Определить стороны спора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Определить тип сторон по материалам дела; если хотя бы одна сторона — физическое лицо, то подсудность относится к СОЮ, иначе — к АС; результат: отметка в системе о принадлежности подсудности к СОЮ или АС.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Определить вид спора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Определить вид спора и структурировать требования для последующих проверок; результат: в системе заполнены атрибуты «вид спора» и «требования (структура)».</w:t>
            </w:r>
            <w:r w:rsidR="007B44E6" w:rsidRPr="00745E68">
              <w:rPr>
                <w:color w:val="000000"/>
                <w:sz w:val="24"/>
                <w:szCs w:val="24"/>
                <w:lang w:eastAsia="ru-RU"/>
              </w:rPr>
              <w:br/>
              <w:t>Также в данную проверку входит:</w:t>
            </w:r>
            <w:r w:rsidR="007B44E6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Проверить ходатайство ответчика о передаче по новому адресу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: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Согласно п. 1 ч. 2 ст. 39 АПК РФ, Арбитражный суд передает дело на рассмотрение другого арбитражного суда того же уровня в случае, если ответчик, адрес или место жительства которого не было известно ранее, заявит ходатайство о передаче дела в арбитражный суд по его адресу или месту жительства. Система проверяет наличие такого ходатайства в системе.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Проверить ходатайства о рассмотрении по месту нахождения доказательств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: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Согласно п. 2 ч. 2 ст. 39 АПК РФ, Арбитражный суд передает дело на рассмотрение другого арбитражного суда того же уровня в случае, если обе стороны заявили ходатайство о рассмотрении дела по месту нахождения большинства доказательств. Система проверяет наличие такого ходатайства в системе.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Проверить, не является ли АС лицом, участвующим в деле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: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Согласно п. 4 ч. 2 ст. 39 АПК РФ, Арбитражный суд передает дело на рассмотрение другого арбитражного суда того же уровня в случае, если при рассмотрении дела в суде было установлено, что лицом, участвующим в деле, является тот же арбитражный суд. Система проверяет, не является ли АС лицом, участвующим в деле, используя ранее зафиксированную информацию о лице (сопоставление реквизитов и ролей)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Проверить возможность сформировать состав суда для рассмотрения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: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br/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Назначение: Согласно п. 5 ч. 2 ст. 39 АПК РФ, Арбитражный суд передает дело на рассмотрение другого арбитражного суда того же уровня в случае, если после отвода одного или нескольких судей либо по другим причинам невозможно сформировать состав суда для рассмотрения данного дела. Система проверяет возможность сформировать состав суда для рассмотрения в этом случае.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основания для передачи дела по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Выявить наличие потенциальных оснований для передачи дела по подсудности; результат: в системе зафиксирован признак наличия/отсутствия оснований передачи и выявленные основания (при наличии).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Дело о банкротстве?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t>тносится ли дело к банкротству; результат: зафиксирован ответ «Да/Нет» и выбран дальнейший маршрут проверки.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процедуру рассмотрения дела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Определить применимую процедуру рассмотрения дела и связанные ограничения по изменению подсудности; результат: в системе зафиксированы параметры процедуры и признак наличия/отсутствия ограничений.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Вынесено решение о признании должника банкротом?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>В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t>ынесено ли решение о признании должника банкротом; результат: зафиксирован ответ «Да/Нет» и выбран дальнейший маршрут проверки</w:t>
            </w:r>
            <w:r w:rsidR="00964390" w:rsidRPr="00745E68">
              <w:rPr>
                <w:color w:val="000000"/>
                <w:sz w:val="24"/>
                <w:szCs w:val="24"/>
                <w:lang w:eastAsia="ru-RU"/>
              </w:rPr>
              <w:t xml:space="preserve"> согласно данным из предыдущих шагов.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Записать невозможность изменения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Записать в деле вывод о невозможности изменения подсудности; результат: установлен признак «изменение подсудности невозможно».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Подтвердить невозможность изменения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и подтвердить пользователем вывод о невозможности изменения подсудности; результат: вывод подтверждён пользователем либо скорректирован.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Изменение подсудности невозможно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завершение ветки проверки, при которой изменение подсудности невозможно; результат: процесс завершён с итоговым выводом о невозможности изменения подсудности.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5" w:history="1">
              <w:r w:rsidRPr="00745E68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ТБП20.Проверить компетенцию</w:t>
              </w:r>
            </w:hyperlink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Запустить типовой процесс «Проверить компетенцию» и получить итог по компетенции; результат: в системе сохранён вывод по компетенции (признак соблюдения/несоблюдения).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Родовая подсудность соблюдена?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На основании вывода по компетенции определ</w:t>
            </w:r>
            <w:r w:rsidR="00CA07BC" w:rsidRPr="00745E68">
              <w:rPr>
                <w:color w:val="000000"/>
                <w:sz w:val="24"/>
                <w:szCs w:val="24"/>
                <w:lang w:eastAsia="ru-RU"/>
              </w:rPr>
              <w:t>яется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t>, соблюдена ли родовая подсудность; результат: зафиксирован ответ «Да/Нет».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специализированную подсудность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специализированную подсудность (СИП/суд округа и т.п.); результат: в системе зафиксирован признак соблюдения/несоблюдения и направление передачи (при необходимости).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Соблюдена специализированная подсудность?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соблюдение специализированной подсудности; результат: зафиксирован ответ «Да/Нет» и актуализирована отметка о необходимости передачи (при наличии оснований).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Объединить ветви процесса после проверки специализированной подсудности; результат: процесс продолжен по единому маршруту с сохранением зафиксированных выводов.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договорную подсудность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наличие договорной подсудности в материалах дела; результат: в системе зафиксирован признак наличия/отсутствия договорной подсудности и параметры (если выявлены).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Подсудность определена в договоре?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определена ли подсудность в договоре; результат: зафиксирован ответ «Да/Нет» и выбран дальнейший маршрут проверки.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арбитражное соглашение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наличие арбитражного соглашения/оговорки; результат: в системе зафиксирован признак наличия/отсутствия арбитражного соглашения и его тип (если выявлен).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Дело должно быть передано на рассмотрение Третейского суда?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необходимост</w:t>
            </w:r>
            <w:r w:rsidR="00CA07BC" w:rsidRPr="00745E68">
              <w:rPr>
                <w:color w:val="000000"/>
                <w:sz w:val="24"/>
                <w:szCs w:val="24"/>
                <w:lang w:eastAsia="ru-RU"/>
              </w:rPr>
              <w:t>ь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t xml:space="preserve"> передачи дела на рассмотрение третейского суда; результат: зафиксировано решение «передать/не передавать» и выбран маршрут.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Является ли договорная подсудность допустимой?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допустимость договорной подсудности для текущего дела; результат: зафиксирован вывод о допустимости/недопустимости и выбран дальнейший маршрут.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Сформировать в системе протокол проверки (журнал результатов выполненных проверок); результат: протокол сформирован и доступен пользователю.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745E68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Запустить типовой процесс «Проверить выводы системы»; результат: выводы системы подтверждены пользователем либо скорректированы, зафиксирован итоговый набор отметок по проверке подсудности.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Переход к шагу 41.</w:t>
            </w:r>
          </w:p>
        </w:tc>
        <w:tc>
          <w:tcPr>
            <w:tcW w:w="7938" w:type="dxa"/>
            <w:shd w:val="clear" w:color="auto" w:fill="auto"/>
            <w:hideMark/>
          </w:tcPr>
          <w:p w:rsidR="00CA07BC" w:rsidRPr="00745E68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Выполнить технологический переход к ветке рассмотрения ходатайства</w:t>
            </w:r>
          </w:p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938" w:type="dxa"/>
            <w:shd w:val="clear" w:color="auto" w:fill="auto"/>
            <w:hideMark/>
          </w:tcPr>
          <w:p w:rsidR="00CA07BC" w:rsidRPr="00745E68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Объединить ветви процесса после проверок договорной подсудности/арбитражного соглашения; </w:t>
            </w:r>
          </w:p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938" w:type="dxa"/>
            <w:shd w:val="clear" w:color="auto" w:fill="auto"/>
            <w:hideMark/>
          </w:tcPr>
          <w:p w:rsidR="00CA07BC" w:rsidRPr="00745E68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Объединить ветви процесса после принятия решения по допустимости договорной подсудности</w:t>
            </w:r>
          </w:p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Сформировать/обновить протокол проверки с учётом выполненных проверок; результат: протокол актуализирован и доступен пользователю.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Pr="00745E68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Запустить типовой процесс «Проверить выводы системы»; результат: выводы по выполненным проверкам подтверждены пользователем либо скорректированы.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938" w:type="dxa"/>
            <w:shd w:val="clear" w:color="auto" w:fill="auto"/>
            <w:hideMark/>
          </w:tcPr>
          <w:p w:rsidR="00CA07BC" w:rsidRPr="00745E68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 xml:space="preserve">Назначение: Объединить ветви процесса после проверки/корректировки выводов; </w:t>
            </w:r>
          </w:p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подсудность по адресу ответчика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территориальную подсудность по адресу ответчика; результат: в системе зафиксирован вывод о соответствии/несоответствии и актуализирована отметка о подсудности.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подсудность по выбору истца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подсудность по выбору истца; результат: в системе зафиксирован вывод о применимости выбора истца и актуализирована отметка о подсудности.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Проверить исключительную подсудность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Проверить исключительную подсудность; результат: в системе зафиксирован вывод о наличии/отсутствии исключительной подсудности и актуализирована отметка о подсудности.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Сформировать/обновить протокол проверки по территориальной подсудности; результат: протокол сформирован и доступен пользователю.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Протокол проверки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Pr="00745E68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Запустить типовой процесс «Проверить выводы системы»; результат: выводы по территориальной подсудности подтверждены пользователем либо скорректированы.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Протокол проверки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Территориальная подсудность соблюдена?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На основании подтверждённых выводов определить, соблюдена ли территориальная подсудность; результат: зафиксирован ответ «Да/Нет» и выбран дальнейший маршрут.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Дело принято к производству?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принято ли дело к производству; результат: зафиксирован ответ «Да/Нет» для выбора дальнейших действий (передача или возвращение документа).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Записать основание для возвращения документа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Записать в деле основание для возвращения документа; результат: в системе зафиксировано основание возвращения и установлен статус «подлежит возвращению».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Установлено основание для возвращения документа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завершение процесса с основанием для возвращения документа; результат: процесс завершён, основание возвращения отражено в деле.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Объединить ветви процесса перед фиксацией оснований передачи; результат: процесс продолжен по единому маршруту.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Записать основания для передачи по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Записать основания для передачи дела по подсудности; результат: в системе зафиксированы основания передачи и установлен статус «подлежит передаче».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Установлены основания для передачи по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завершение процесса с установленными основаниями передачи по подсудности; результат: процесс завершён, в деле отражены основания передачи.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Переход из шага 23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Промежуточное простое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вход на ветку, инициированную переходом к рассмотрению ходатайства; результат: процесс продолжен на блок определения основания проверки.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Проверка подсудности осуществляется на основании ходатайства?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проводится ли проверка подсудности на основании ходатайства; результат: зафиксирован ответ «Да/Нет» и выбран маршрут (оформление отказа либо завершение проверки).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Записать положительный результат проверки подсудности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Записать положительный результат проверки подсудности; результат: в системе установлена итоговая отметка «подсудность соблюдена», основания передачи отсутствуют.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Подсудность соблюдена. Оснований для передачи не установлено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завершение процесса с выводом о соблюдении подсудности и отсутствии оснований передачи; результат: процесс завершён с положительным итогом.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016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Предложить пользователю принять определение об отказе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Сформировать и показать пользователю предложение о принятии определения об отказе; результат: пользователю доступен переход к оформлению определения об отказе.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Подтвердить переход к вынесению определения об отказе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Подтвердить переход к вынесению определения об отказе; результат: в системе зафиксировано согласие пользователя на оформление определения об отказе.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2592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9" w:history="1">
              <w:r w:rsidRPr="00745E68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Запустить типовой процесс «Принять СА» для оформления определения об отказе; результат: сформировано и сохранено определение об отказе (согласно исходящим данным шага).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Определение об отказе в удовлетворении ходатайства о передаче дела на рассмотрение другого АС, Определение об отказе в удовлетворении ходатайства о передаче дела на рассмотрение СОЮ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  <w:tr w:rsidR="00C438F0" w:rsidRPr="00C438F0" w:rsidTr="00D47974">
        <w:trPr>
          <w:trHeight w:val="1728"/>
        </w:trPr>
        <w:tc>
          <w:tcPr>
            <w:tcW w:w="1300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3089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Стороне отказано в удовлетворении ходатайства о передаче по подсудности за неимением оснований</w:t>
            </w:r>
          </w:p>
        </w:tc>
        <w:tc>
          <w:tcPr>
            <w:tcW w:w="7938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C438F0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Назначение: Зафиксировать итог по ходатайству: отказ в удовлетворении за неимением оснований; результат: процесс завершён, отказ отражён в деле.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Роль: Судья/ Помощник судьи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C438F0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2976" w:type="dxa"/>
            <w:shd w:val="clear" w:color="auto" w:fill="auto"/>
            <w:hideMark/>
          </w:tcPr>
          <w:p w:rsidR="00C438F0" w:rsidRPr="00C438F0" w:rsidRDefault="00C438F0" w:rsidP="00C438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6A0B97" w:rsidRPr="00745E68" w:rsidRDefault="006A0B97">
      <w:pPr>
        <w:pStyle w:val="a5"/>
        <w:rPr>
          <w:sz w:val="24"/>
          <w:szCs w:val="24"/>
        </w:rPr>
      </w:pPr>
    </w:p>
    <w:p w:rsidR="006A0B97" w:rsidRPr="00745E68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745E68">
        <w:rPr>
          <w:sz w:val="24"/>
          <w:szCs w:val="24"/>
        </w:rPr>
        <w:t>Реестр</w:t>
      </w:r>
      <w:r w:rsidRPr="00745E68">
        <w:rPr>
          <w:spacing w:val="-4"/>
          <w:sz w:val="24"/>
          <w:szCs w:val="24"/>
        </w:rPr>
        <w:t xml:space="preserve"> </w:t>
      </w:r>
      <w:r w:rsidRPr="00745E68">
        <w:rPr>
          <w:sz w:val="24"/>
          <w:szCs w:val="24"/>
        </w:rPr>
        <w:t>UC</w:t>
      </w:r>
      <w:r w:rsidRPr="00745E68">
        <w:rPr>
          <w:spacing w:val="40"/>
          <w:sz w:val="24"/>
          <w:szCs w:val="24"/>
        </w:rPr>
        <w:t xml:space="preserve"> </w:t>
      </w:r>
      <w:r w:rsidRPr="00745E68">
        <w:rPr>
          <w:sz w:val="24"/>
          <w:szCs w:val="24"/>
        </w:rPr>
        <w:t>(в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z w:val="24"/>
          <w:szCs w:val="24"/>
        </w:rPr>
        <w:t>части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z w:val="24"/>
          <w:szCs w:val="24"/>
        </w:rPr>
        <w:t>выполняемых</w:t>
      </w:r>
      <w:r w:rsidRPr="00745E68">
        <w:rPr>
          <w:spacing w:val="40"/>
          <w:sz w:val="24"/>
          <w:szCs w:val="24"/>
        </w:rPr>
        <w:t xml:space="preserve"> </w:t>
      </w:r>
      <w:r w:rsidRPr="00745E68">
        <w:rPr>
          <w:sz w:val="24"/>
          <w:szCs w:val="24"/>
        </w:rPr>
        <w:t>пользователем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z w:val="24"/>
          <w:szCs w:val="24"/>
        </w:rPr>
        <w:t>задач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z w:val="24"/>
          <w:szCs w:val="24"/>
        </w:rPr>
        <w:t>и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z w:val="24"/>
          <w:szCs w:val="24"/>
        </w:rPr>
        <w:t>рекомендованной</w:t>
      </w:r>
      <w:r w:rsidRPr="00745E68">
        <w:rPr>
          <w:spacing w:val="-5"/>
          <w:sz w:val="24"/>
          <w:szCs w:val="24"/>
        </w:rPr>
        <w:t xml:space="preserve"> </w:t>
      </w:r>
      <w:r w:rsidRPr="00745E68">
        <w:rPr>
          <w:sz w:val="24"/>
          <w:szCs w:val="24"/>
        </w:rPr>
        <w:t xml:space="preserve">функциональности </w:t>
      </w:r>
      <w:r w:rsidRPr="00745E68">
        <w:rPr>
          <w:spacing w:val="-2"/>
          <w:sz w:val="24"/>
          <w:szCs w:val="24"/>
        </w:rPr>
        <w:t>Системы)</w:t>
      </w:r>
    </w:p>
    <w:p w:rsidR="006A0B97" w:rsidRPr="00745E68" w:rsidRDefault="006A255B">
      <w:pPr>
        <w:pStyle w:val="a3"/>
        <w:spacing w:before="151" w:line="280" w:lineRule="auto"/>
        <w:ind w:left="240" w:right="328"/>
      </w:pPr>
      <w:r w:rsidRPr="00745E68">
        <w:t>UC-001:</w:t>
      </w:r>
      <w:r w:rsidRPr="00745E68">
        <w:rPr>
          <w:spacing w:val="-6"/>
        </w:rPr>
        <w:t xml:space="preserve"> </w:t>
      </w:r>
    </w:p>
    <w:p w:rsidR="006A0B97" w:rsidRPr="00745E68" w:rsidRDefault="006A0B97">
      <w:pPr>
        <w:pStyle w:val="a3"/>
        <w:spacing w:before="2"/>
      </w:pPr>
    </w:p>
    <w:tbl>
      <w:tblPr>
        <w:tblStyle w:val="TableNormal"/>
        <w:tblW w:w="0" w:type="auto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8833"/>
      </w:tblGrid>
      <w:tr w:rsidR="006A0B97" w:rsidRPr="00745E68" w:rsidTr="00A12027">
        <w:trPr>
          <w:trHeight w:val="413"/>
        </w:trPr>
        <w:tc>
          <w:tcPr>
            <w:tcW w:w="1481" w:type="dxa"/>
            <w:tcBorders>
              <w:left w:val="single" w:sz="4" w:space="0" w:color="C0C6D0"/>
            </w:tcBorders>
            <w:shd w:val="clear" w:color="auto" w:fill="F3F4F7"/>
          </w:tcPr>
          <w:p w:rsidR="006A0B97" w:rsidRPr="00745E68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8833" w:type="dxa"/>
            <w:tcBorders>
              <w:right w:val="single" w:sz="4" w:space="0" w:color="C0C6D0"/>
            </w:tcBorders>
            <w:shd w:val="clear" w:color="auto" w:fill="F3F4F7"/>
          </w:tcPr>
          <w:p w:rsidR="006A0B97" w:rsidRPr="00745E68" w:rsidRDefault="006A255B">
            <w:pPr>
              <w:pStyle w:val="TableParagraph"/>
              <w:spacing w:before="121"/>
              <w:ind w:left="153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sz w:val="24"/>
                <w:szCs w:val="24"/>
              </w:rPr>
              <w:t>Значение</w:t>
            </w:r>
          </w:p>
        </w:tc>
        <w:bookmarkStart w:id="0" w:name="_GoBack"/>
        <w:bookmarkEnd w:id="0"/>
      </w:tr>
      <w:tr w:rsidR="006A0B97" w:rsidRPr="00745E68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745E68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w w:val="90"/>
                <w:sz w:val="24"/>
                <w:szCs w:val="24"/>
              </w:rPr>
              <w:t>№</w:t>
            </w:r>
            <w:r w:rsidRPr="00745E6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745E68">
              <w:rPr>
                <w:b/>
                <w:w w:val="90"/>
                <w:sz w:val="24"/>
                <w:szCs w:val="24"/>
              </w:rPr>
              <w:t>шага</w:t>
            </w:r>
            <w:r w:rsidRPr="00745E6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w w:val="90"/>
                <w:sz w:val="24"/>
                <w:szCs w:val="24"/>
              </w:rPr>
              <w:t>процесса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45E68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w w:val="90"/>
                <w:sz w:val="24"/>
                <w:szCs w:val="24"/>
              </w:rPr>
              <w:t>Выполняемая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задача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88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45E68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4"/>
                <w:sz w:val="24"/>
                <w:szCs w:val="24"/>
              </w:rPr>
              <w:t>Цель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45E68" w:rsidRDefault="006A0B97" w:rsidP="003168C0">
            <w:pPr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755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</w:tcBorders>
          </w:tcPr>
          <w:p w:rsidR="006A0B97" w:rsidRPr="00745E68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745E68">
              <w:rPr>
                <w:b/>
                <w:sz w:val="24"/>
                <w:szCs w:val="24"/>
              </w:rPr>
              <w:t>Роль</w:t>
            </w:r>
            <w:r w:rsidRPr="00745E68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745E68">
              <w:rPr>
                <w:b/>
                <w:sz w:val="24"/>
                <w:szCs w:val="24"/>
              </w:rPr>
              <w:t>(в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6"/>
                <w:sz w:val="24"/>
                <w:szCs w:val="24"/>
              </w:rPr>
              <w:t>соответствии</w:t>
            </w:r>
            <w:r w:rsidRPr="00745E68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6"/>
                <w:sz w:val="24"/>
                <w:szCs w:val="24"/>
              </w:rPr>
              <w:t>со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схемой)</w:t>
            </w:r>
          </w:p>
        </w:tc>
        <w:tc>
          <w:tcPr>
            <w:tcW w:w="8833" w:type="dxa"/>
            <w:tcBorders>
              <w:top w:val="single" w:sz="8" w:space="0" w:color="C0C6D0"/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745E68" w:rsidRDefault="006A255B">
            <w:pPr>
              <w:pStyle w:val="TableParagraph"/>
              <w:spacing w:before="90" w:line="280" w:lineRule="auto"/>
              <w:ind w:left="77" w:right="140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w w:val="90"/>
                <w:sz w:val="24"/>
                <w:szCs w:val="24"/>
              </w:rPr>
              <w:t>Ожидаемый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745E68" w:rsidRDefault="006A255B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sz w:val="24"/>
                <w:szCs w:val="24"/>
              </w:rPr>
              <w:t>Рекомендованная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w w:val="90"/>
                <w:sz w:val="24"/>
                <w:szCs w:val="24"/>
              </w:rPr>
              <w:t>функциональность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745E68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sz w:val="24"/>
                <w:szCs w:val="24"/>
              </w:rPr>
              <w:t>Критичность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348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45E68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sz w:val="24"/>
                <w:szCs w:val="24"/>
              </w:rPr>
              <w:t>Триггер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6A0B97" w:rsidRPr="00745E68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745E68" w:rsidRDefault="006A255B">
            <w:pPr>
              <w:pStyle w:val="TableParagraph"/>
              <w:spacing w:before="88" w:line="280" w:lineRule="auto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w w:val="90"/>
                <w:sz w:val="24"/>
                <w:szCs w:val="24"/>
              </w:rPr>
              <w:t>Предварительные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условия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745E68" w:rsidRDefault="006A0B97">
            <w:pPr>
              <w:pStyle w:val="TableParagraph"/>
              <w:spacing w:before="88" w:line="280" w:lineRule="auto"/>
              <w:ind w:left="78" w:right="203"/>
              <w:rPr>
                <w:sz w:val="24"/>
                <w:szCs w:val="24"/>
              </w:rPr>
            </w:pPr>
          </w:p>
        </w:tc>
      </w:tr>
      <w:tr w:rsidR="00A12027" w:rsidRPr="00745E68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745E68" w:rsidRDefault="00A12027" w:rsidP="00A12027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6"/>
                <w:sz w:val="24"/>
                <w:szCs w:val="24"/>
              </w:rPr>
              <w:t>Основной</w:t>
            </w:r>
            <w:r w:rsidRPr="00745E6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сценарий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745E68" w:rsidRDefault="00A12027" w:rsidP="000D085D">
            <w:pPr>
              <w:pStyle w:val="TableParagraph"/>
              <w:tabs>
                <w:tab w:val="left" w:pos="228"/>
              </w:tabs>
              <w:spacing w:before="30"/>
              <w:rPr>
                <w:sz w:val="24"/>
                <w:szCs w:val="24"/>
              </w:rPr>
            </w:pPr>
          </w:p>
        </w:tc>
      </w:tr>
      <w:tr w:rsidR="00A12027" w:rsidRPr="00745E68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745E68" w:rsidRDefault="00A12027" w:rsidP="00A12027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745E68">
              <w:rPr>
                <w:b/>
                <w:spacing w:val="-2"/>
                <w:sz w:val="24"/>
                <w:szCs w:val="24"/>
              </w:rPr>
              <w:t>Расширение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w w:val="90"/>
                <w:sz w:val="24"/>
                <w:szCs w:val="24"/>
              </w:rPr>
              <w:t>(альтернативный</w:t>
            </w:r>
            <w:r w:rsidRPr="00745E68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745E68">
              <w:rPr>
                <w:b/>
                <w:spacing w:val="-2"/>
                <w:sz w:val="24"/>
                <w:szCs w:val="24"/>
              </w:rPr>
              <w:t>сценарий)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745E68" w:rsidRDefault="00A12027" w:rsidP="00A12027">
            <w:pPr>
              <w:pStyle w:val="TableParagraph"/>
              <w:spacing w:before="1" w:line="280" w:lineRule="auto"/>
              <w:ind w:left="78"/>
              <w:rPr>
                <w:sz w:val="24"/>
                <w:szCs w:val="24"/>
              </w:rPr>
            </w:pPr>
          </w:p>
        </w:tc>
      </w:tr>
    </w:tbl>
    <w:p w:rsidR="006A0B97" w:rsidRPr="00745E68" w:rsidRDefault="006A0B97" w:rsidP="00A12027">
      <w:pPr>
        <w:pStyle w:val="TableParagraph"/>
        <w:spacing w:line="280" w:lineRule="auto"/>
        <w:ind w:left="0"/>
        <w:rPr>
          <w:sz w:val="24"/>
          <w:szCs w:val="24"/>
        </w:rPr>
        <w:sectPr w:rsidR="006A0B97" w:rsidRPr="00745E68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p w:rsidR="006A0B97" w:rsidRPr="00745E68" w:rsidRDefault="006A0B97" w:rsidP="00A12027">
      <w:pPr>
        <w:pStyle w:val="a3"/>
        <w:spacing w:before="4"/>
      </w:pPr>
    </w:p>
    <w:sectPr w:rsidR="006A0B97" w:rsidRPr="00745E68" w:rsidSect="0081175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859A9"/>
    <w:rsid w:val="00085F72"/>
    <w:rsid w:val="000B7729"/>
    <w:rsid w:val="000C3F05"/>
    <w:rsid w:val="000D085D"/>
    <w:rsid w:val="00103293"/>
    <w:rsid w:val="001345D2"/>
    <w:rsid w:val="001362DB"/>
    <w:rsid w:val="001379E5"/>
    <w:rsid w:val="00144A51"/>
    <w:rsid w:val="00147521"/>
    <w:rsid w:val="001B0B74"/>
    <w:rsid w:val="001F6326"/>
    <w:rsid w:val="002227F5"/>
    <w:rsid w:val="00230B66"/>
    <w:rsid w:val="00287D99"/>
    <w:rsid w:val="002A465D"/>
    <w:rsid w:val="002E1F72"/>
    <w:rsid w:val="002E7324"/>
    <w:rsid w:val="003168C0"/>
    <w:rsid w:val="00335474"/>
    <w:rsid w:val="00335DBA"/>
    <w:rsid w:val="003526E5"/>
    <w:rsid w:val="00374FA2"/>
    <w:rsid w:val="00376557"/>
    <w:rsid w:val="00383BA4"/>
    <w:rsid w:val="004D49F5"/>
    <w:rsid w:val="005215FC"/>
    <w:rsid w:val="005A2D89"/>
    <w:rsid w:val="005D36FD"/>
    <w:rsid w:val="00604AD6"/>
    <w:rsid w:val="00606F10"/>
    <w:rsid w:val="006416B6"/>
    <w:rsid w:val="006615A5"/>
    <w:rsid w:val="006A0B97"/>
    <w:rsid w:val="006A1F02"/>
    <w:rsid w:val="006A255B"/>
    <w:rsid w:val="006E605E"/>
    <w:rsid w:val="00745E68"/>
    <w:rsid w:val="00791FB8"/>
    <w:rsid w:val="007B44E6"/>
    <w:rsid w:val="007C298F"/>
    <w:rsid w:val="00811755"/>
    <w:rsid w:val="008165A7"/>
    <w:rsid w:val="00820F61"/>
    <w:rsid w:val="008223B8"/>
    <w:rsid w:val="0088370A"/>
    <w:rsid w:val="008A4188"/>
    <w:rsid w:val="008D5EDC"/>
    <w:rsid w:val="00932CE0"/>
    <w:rsid w:val="00964390"/>
    <w:rsid w:val="009A689A"/>
    <w:rsid w:val="009C7604"/>
    <w:rsid w:val="00A12027"/>
    <w:rsid w:val="00AA00FC"/>
    <w:rsid w:val="00B04574"/>
    <w:rsid w:val="00B43A69"/>
    <w:rsid w:val="00C0783C"/>
    <w:rsid w:val="00C24343"/>
    <w:rsid w:val="00C438F0"/>
    <w:rsid w:val="00CA07BC"/>
    <w:rsid w:val="00CB0856"/>
    <w:rsid w:val="00CC0B1A"/>
    <w:rsid w:val="00D47974"/>
    <w:rsid w:val="00DA2D9F"/>
    <w:rsid w:val="00DE6A68"/>
    <w:rsid w:val="00E461DE"/>
    <w:rsid w:val="00E66BD8"/>
    <w:rsid w:val="00ED3F20"/>
    <w:rsid w:val="00EE4603"/>
    <w:rsid w:val="00F65448"/>
    <w:rsid w:val="00F92C86"/>
    <w:rsid w:val="00FA4F17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88531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Hyperlink"/>
    <w:basedOn w:val="a0"/>
    <w:uiPriority w:val="99"/>
    <w:semiHidden/>
    <w:unhideWhenUsed/>
    <w:rsid w:val="005A2D8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1F63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1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31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tpm-wiki.mos.ru/pages/viewpage.action?pageId=53316362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1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3104</Words>
  <Characters>17696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44</cp:revision>
  <dcterms:created xsi:type="dcterms:W3CDTF">2025-12-18T13:25:00Z</dcterms:created>
  <dcterms:modified xsi:type="dcterms:W3CDTF">2026-02-11T07:34:00Z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