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3233" w:rsidRPr="00D54EE8" w:rsidRDefault="00BC225F" w:rsidP="00843233">
      <w:pPr>
        <w:pStyle w:val="a3"/>
        <w:spacing w:before="86"/>
        <w:rPr>
          <w:b/>
          <w:lang w:val="en-US"/>
        </w:rPr>
      </w:pPr>
      <w:r>
        <w:t>ТБП</w:t>
      </w:r>
      <w:proofErr w:type="gramStart"/>
      <w:r>
        <w:t>4</w:t>
      </w:r>
      <w:r>
        <w:t>:</w:t>
      </w:r>
      <w:r>
        <w:t>Контроль</w:t>
      </w:r>
      <w:proofErr w:type="gramEnd"/>
      <w:r>
        <w:t xml:space="preserve"> надлежащего уведомления</w:t>
      </w:r>
    </w:p>
    <w:tbl>
      <w:tblPr>
        <w:tblStyle w:val="a9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11125"/>
      </w:tblGrid>
      <w:tr w:rsidR="00843233" w:rsidRPr="00C80204" w:rsidTr="00D54EE8">
        <w:trPr>
          <w:trHeight w:val="610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Pr="00C80204" w:rsidRDefault="00843233">
            <w:pPr>
              <w:rPr>
                <w:sz w:val="24"/>
                <w:szCs w:val="24"/>
                <w:lang w:val="en-US"/>
              </w:rPr>
            </w:pPr>
            <w:proofErr w:type="spellStart"/>
            <w:r w:rsidRPr="00C80204">
              <w:rPr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3233" w:rsidRPr="00C80204" w:rsidRDefault="00BC225F">
            <w:pPr>
              <w:rPr>
                <w:sz w:val="24"/>
                <w:szCs w:val="24"/>
              </w:rPr>
            </w:pPr>
            <w:r w:rsidRPr="00BC225F">
              <w:rPr>
                <w:sz w:val="24"/>
                <w:szCs w:val="24"/>
              </w:rPr>
              <w:t>ТБП</w:t>
            </w:r>
            <w:proofErr w:type="gramStart"/>
            <w:r w:rsidRPr="00BC225F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:</w:t>
            </w:r>
            <w:r w:rsidRPr="00BC225F">
              <w:rPr>
                <w:sz w:val="24"/>
                <w:szCs w:val="24"/>
              </w:rPr>
              <w:t>Контроль</w:t>
            </w:r>
            <w:proofErr w:type="gramEnd"/>
            <w:r w:rsidRPr="00BC225F">
              <w:rPr>
                <w:sz w:val="24"/>
                <w:szCs w:val="24"/>
              </w:rPr>
              <w:t xml:space="preserve"> надлежащего уведомления</w:t>
            </w:r>
          </w:p>
        </w:tc>
      </w:tr>
      <w:tr w:rsidR="00843233" w:rsidRPr="00C80204" w:rsidTr="00D54EE8">
        <w:trPr>
          <w:trHeight w:val="409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Pr="00C80204" w:rsidRDefault="00843233">
            <w:pPr>
              <w:rPr>
                <w:sz w:val="24"/>
                <w:szCs w:val="24"/>
                <w:lang w:val="en-US"/>
              </w:rPr>
            </w:pPr>
            <w:proofErr w:type="spellStart"/>
            <w:r w:rsidRPr="00C80204">
              <w:rPr>
                <w:sz w:val="24"/>
                <w:szCs w:val="24"/>
                <w:lang w:val="en-US"/>
              </w:rPr>
              <w:t>Суть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3233" w:rsidRPr="00C80204" w:rsidRDefault="00D54EE8">
            <w:pPr>
              <w:rPr>
                <w:sz w:val="24"/>
                <w:szCs w:val="24"/>
              </w:rPr>
            </w:pPr>
            <w:r w:rsidRPr="00D54EE8">
              <w:rPr>
                <w:sz w:val="24"/>
                <w:szCs w:val="24"/>
              </w:rPr>
              <w:t>Процесс описывает контроль надлежащего уведомления участников процесса. Процесс начинается, когда происходит подготовка дела к СЗ/ПСЗ / Проверка извещения участников процесса перед заседанием / Контроль уведомления сторон о СЗ/ПСЗ / Подготовка дела к рассмотрению по существу / Зафиксирован факт того, что участник заявил о неполучении направления/ Истек контрольный срок доставки корреспонденции / Обновилась информация в системе отслеживания почтовых отправлений / В деле нет подтверждения вручения ранее направленных документов. Процесс включает в себя определение способа, которым было направлено уведомление; в зависимости от способа выбирается способ контроля и документ, свидетельствующий об успешном извещении, затем делается итоговый вывод о подтверждении направленного уведомления, и в случае, если направление подтверждено, делается отметка об извещении. Если подтверждения нет, то делается отметка об отсутствии подтверждения. Затем решается вопрос о необходимости довести сведения до судьи. Если информацию докладывать судье не нужно, то процесс завершается; если доложить необходимо, то происходит извещение судьи. Процесс завершается признанием судьей извещения надлежащим, или ненадлежащим.</w:t>
            </w:r>
          </w:p>
        </w:tc>
      </w:tr>
      <w:tr w:rsidR="00843233" w:rsidRPr="00C80204" w:rsidTr="00D54EE8">
        <w:trPr>
          <w:trHeight w:val="615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Pr="00C80204" w:rsidRDefault="00843233">
            <w:pPr>
              <w:rPr>
                <w:sz w:val="24"/>
                <w:szCs w:val="24"/>
                <w:lang w:val="en-US"/>
              </w:rPr>
            </w:pPr>
            <w:proofErr w:type="spellStart"/>
            <w:r w:rsidRPr="00C80204">
              <w:rPr>
                <w:sz w:val="24"/>
                <w:szCs w:val="24"/>
                <w:lang w:val="en-US"/>
              </w:rPr>
              <w:t>Участники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D7A" w:rsidRPr="00411D7A" w:rsidRDefault="00411D7A" w:rsidP="00411D7A">
            <w:pPr>
              <w:rPr>
                <w:sz w:val="24"/>
                <w:szCs w:val="24"/>
              </w:rPr>
            </w:pPr>
            <w:r w:rsidRPr="00411D7A">
              <w:rPr>
                <w:sz w:val="24"/>
                <w:szCs w:val="24"/>
              </w:rPr>
              <w:t>Помощник судьи/Секретарь судебного заседания суда</w:t>
            </w:r>
          </w:p>
          <w:p w:rsidR="00843233" w:rsidRPr="00D51B5F" w:rsidRDefault="00411D7A" w:rsidP="00411D7A">
            <w:pPr>
              <w:rPr>
                <w:sz w:val="24"/>
                <w:szCs w:val="24"/>
              </w:rPr>
            </w:pPr>
            <w:r w:rsidRPr="00411D7A">
              <w:rPr>
                <w:sz w:val="24"/>
                <w:szCs w:val="24"/>
              </w:rPr>
              <w:t>Судья</w:t>
            </w:r>
          </w:p>
        </w:tc>
      </w:tr>
      <w:tr w:rsidR="00843233" w:rsidRPr="00C80204" w:rsidTr="00D54EE8">
        <w:trPr>
          <w:trHeight w:val="467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Pr="00C80204" w:rsidRDefault="00843233">
            <w:pPr>
              <w:rPr>
                <w:sz w:val="24"/>
                <w:szCs w:val="24"/>
                <w:lang w:val="en-US"/>
              </w:rPr>
            </w:pPr>
            <w:r w:rsidRPr="00C80204">
              <w:rPr>
                <w:sz w:val="24"/>
                <w:szCs w:val="24"/>
                <w:lang w:val="en-US"/>
              </w:rPr>
              <w:t>НПА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08B" w:rsidRPr="00EC408B" w:rsidRDefault="00EC408B" w:rsidP="00EC408B">
            <w:pPr>
              <w:rPr>
                <w:sz w:val="24"/>
                <w:szCs w:val="24"/>
              </w:rPr>
            </w:pPr>
            <w:r w:rsidRPr="00EC408B">
              <w:rPr>
                <w:sz w:val="24"/>
                <w:szCs w:val="24"/>
              </w:rPr>
              <w:t>"Арбитражный процессуальный кодекс Российской Федерации" от 24.07.2002 N 95-ФЗ (ред. от 01.04.2025)</w:t>
            </w:r>
          </w:p>
          <w:p w:rsidR="00EC408B" w:rsidRPr="00EC408B" w:rsidRDefault="00EC408B" w:rsidP="00EC408B">
            <w:pPr>
              <w:rPr>
                <w:sz w:val="24"/>
                <w:szCs w:val="24"/>
              </w:rPr>
            </w:pPr>
            <w:r w:rsidRPr="00EC408B">
              <w:rPr>
                <w:sz w:val="24"/>
                <w:szCs w:val="24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  <w:p w:rsidR="00EC408B" w:rsidRPr="00EC408B" w:rsidRDefault="00EC408B" w:rsidP="00EC408B">
            <w:pPr>
              <w:rPr>
                <w:sz w:val="24"/>
                <w:szCs w:val="24"/>
              </w:rPr>
            </w:pPr>
            <w:r w:rsidRPr="00EC408B">
              <w:rPr>
                <w:sz w:val="24"/>
                <w:szCs w:val="24"/>
              </w:rPr>
              <w:t>Постановление Пленума Верховного Суда РФ от 17.12.2024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  <w:p w:rsidR="00EC408B" w:rsidRPr="00EC408B" w:rsidRDefault="00EC408B" w:rsidP="00EC408B">
            <w:pPr>
              <w:rPr>
                <w:sz w:val="24"/>
                <w:szCs w:val="24"/>
              </w:rPr>
            </w:pPr>
            <w:r w:rsidRPr="00EC408B">
              <w:rPr>
                <w:sz w:val="24"/>
                <w:szCs w:val="24"/>
              </w:rPr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  <w:p w:rsidR="00EC408B" w:rsidRPr="00EC408B" w:rsidRDefault="00EC408B" w:rsidP="00EC408B">
            <w:pPr>
              <w:rPr>
                <w:sz w:val="24"/>
                <w:szCs w:val="24"/>
              </w:rPr>
            </w:pPr>
            <w:r w:rsidRPr="00EC408B">
              <w:rPr>
                <w:sz w:val="24"/>
                <w:szCs w:val="24"/>
              </w:rPr>
              <w:t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</w:t>
            </w:r>
          </w:p>
          <w:p w:rsidR="00EC408B" w:rsidRPr="00EC408B" w:rsidRDefault="00EC408B" w:rsidP="00EC408B">
            <w:pPr>
              <w:rPr>
                <w:sz w:val="24"/>
                <w:szCs w:val="24"/>
              </w:rPr>
            </w:pPr>
            <w:r w:rsidRPr="00EC408B">
              <w:rPr>
                <w:sz w:val="24"/>
                <w:szCs w:val="24"/>
              </w:rPr>
              <w:t>"Обзор судебной практики Верховного Суда Российской Федерации N 2 (2021)" (утв. Президиумом Верховного Суда РФ 30.06.2021)</w:t>
            </w:r>
          </w:p>
          <w:p w:rsidR="00EC408B" w:rsidRPr="00EC408B" w:rsidRDefault="00EC408B" w:rsidP="00EC408B">
            <w:pPr>
              <w:rPr>
                <w:sz w:val="24"/>
                <w:szCs w:val="24"/>
              </w:rPr>
            </w:pPr>
            <w:r w:rsidRPr="00EC408B">
              <w:rPr>
                <w:sz w:val="24"/>
                <w:szCs w:val="24"/>
              </w:rPr>
              <w:t>Постановление Пленума Верховного Суда РФ от 27.06.2017 N 23 "О рассмотрении арбитражными судами дел по экономическим спорам, возникающим из отношений, осложненных иностранным элементом"</w:t>
            </w:r>
          </w:p>
          <w:p w:rsidR="00EC408B" w:rsidRPr="00EC408B" w:rsidRDefault="00EC408B" w:rsidP="00EC408B">
            <w:pPr>
              <w:rPr>
                <w:sz w:val="24"/>
                <w:szCs w:val="24"/>
              </w:rPr>
            </w:pPr>
            <w:r w:rsidRPr="00EC408B">
              <w:rPr>
                <w:sz w:val="24"/>
                <w:szCs w:val="24"/>
              </w:rPr>
              <w:t>Постановление Пленума Верховного Суда РФ от 18.04.2017 N 10 (ред. от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</w:t>
            </w:r>
          </w:p>
          <w:p w:rsidR="00843233" w:rsidRPr="00C80204" w:rsidRDefault="00EC408B" w:rsidP="00EC408B">
            <w:pPr>
              <w:rPr>
                <w:sz w:val="24"/>
                <w:szCs w:val="24"/>
              </w:rPr>
            </w:pPr>
            <w:r w:rsidRPr="00EC408B">
              <w:rPr>
                <w:sz w:val="24"/>
                <w:szCs w:val="24"/>
              </w:rPr>
              <w:t>Постановление Пленума ВАС РФ от 25.12.2013 N 99 (ред. от 23.12.2021) "О процессуальных сроках"</w:t>
            </w:r>
          </w:p>
        </w:tc>
      </w:tr>
    </w:tbl>
    <w:p w:rsidR="00843233" w:rsidRPr="00C80204" w:rsidRDefault="00843233" w:rsidP="00843233">
      <w:pPr>
        <w:pStyle w:val="a3"/>
        <w:spacing w:before="38"/>
        <w:rPr>
          <w:b/>
        </w:rPr>
      </w:pPr>
    </w:p>
    <w:p w:rsidR="00843233" w:rsidRPr="00C80204" w:rsidRDefault="00843233" w:rsidP="00843233">
      <w:pPr>
        <w:pStyle w:val="a3"/>
        <w:numPr>
          <w:ilvl w:val="0"/>
          <w:numId w:val="15"/>
        </w:numPr>
        <w:rPr>
          <w:spacing w:val="-5"/>
        </w:rPr>
      </w:pPr>
      <w:r w:rsidRPr="00C80204">
        <w:t xml:space="preserve">Реестр </w:t>
      </w:r>
      <w:r w:rsidRPr="00C80204">
        <w:rPr>
          <w:spacing w:val="-5"/>
        </w:rPr>
        <w:t>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462CB8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462CB8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462CB8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462CB8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инициировать проверку извещения участников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процесс контроля извещения запускался автоматически или по событию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видеть все способы извещения по участнику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я мог контролировать полноту уведомления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получать статус почтовой корреспонденции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я понимал, вручено ли уведомление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проверять публикацию в КАД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я мог подтвердить факт публичного извещения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получать уведомление об отсутствии публикации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я мог своевременно запустить повторную публикацию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повторно публиковать судебный акт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извещение через публикацию было выполнено корректно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видеть результат публикации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я мог убедиться, что публикация состоялась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Администратор / система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получать информацию об ошибках публикации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ошибки устранялись и процесс не блокировался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получать данные по факсу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я мог проверить факт факсимильного извещения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проверять корректность данных факса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я мог подтвердить или отклонить извещение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получать данные о телефонограмме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я мог проверить телефонное извещение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проверять корректность телефонограммы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извещение по телефону было подтверждено или отклонено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получать данные о телеграмме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я мог проверить телеграфное извещение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проверять корректность телеграммы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извещение по телеграмме было подтверждено или отклонено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видеть сводную информацию по всем способам извещения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я мог оценить статус извещения по каждому участнику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 xml:space="preserve">выявлять </w:t>
            </w:r>
            <w:proofErr w:type="spellStart"/>
            <w:r w:rsidRPr="00462CB8">
              <w:rPr>
                <w:sz w:val="24"/>
                <w:szCs w:val="24"/>
                <w:lang w:eastAsia="ru-RU"/>
              </w:rPr>
              <w:t>неизвещенных</w:t>
            </w:r>
            <w:proofErr w:type="spellEnd"/>
            <w:r w:rsidRPr="00462CB8">
              <w:rPr>
                <w:sz w:val="24"/>
                <w:szCs w:val="24"/>
                <w:lang w:eastAsia="ru-RU"/>
              </w:rPr>
              <w:t xml:space="preserve"> участников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я мог предпринять действия по их извещению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 xml:space="preserve">фиксировать сведения о </w:t>
            </w:r>
            <w:proofErr w:type="spellStart"/>
            <w:r w:rsidRPr="00462CB8">
              <w:rPr>
                <w:sz w:val="24"/>
                <w:szCs w:val="24"/>
                <w:lang w:eastAsia="ru-RU"/>
              </w:rPr>
              <w:t>неизвещенных</w:t>
            </w:r>
            <w:proofErr w:type="spellEnd"/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суд мог учитывать риски ненадлежащего извещения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сохранять результаты проверки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информация не терялась и использовалась далее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получать уведомление о сроках проверки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я не пропускал контрольные сроки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Помощник судьи / секретарь СЗ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докладывать судье статус извещения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судья принимал решение на основе актуальных данных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видеть структурированную информацию по извещению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я мог принять процессуальное решение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получать рекомендацию системы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я быстрее принимал решение по делу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 xml:space="preserve">определять </w:t>
            </w:r>
            <w:proofErr w:type="spellStart"/>
            <w:r w:rsidRPr="00462CB8">
              <w:rPr>
                <w:sz w:val="24"/>
                <w:szCs w:val="24"/>
                <w:lang w:eastAsia="ru-RU"/>
              </w:rPr>
              <w:t>надлежащесть</w:t>
            </w:r>
            <w:proofErr w:type="spellEnd"/>
            <w:r w:rsidRPr="00462CB8">
              <w:rPr>
                <w:sz w:val="24"/>
                <w:szCs w:val="24"/>
                <w:lang w:eastAsia="ru-RU"/>
              </w:rPr>
              <w:t xml:space="preserve"> извещения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выбиралась корректная ветвь рассмотрения дела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фиксировать решение о ненадлежащем извещении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дело направлялось на повторное извещение или откладывалось</w:t>
            </w:r>
          </w:p>
        </w:tc>
      </w:tr>
      <w:tr w:rsidR="00462CB8" w:rsidRPr="00462CB8" w:rsidTr="00462CB8"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фиксировать решение о надлежащем извещении</w:t>
            </w:r>
          </w:p>
        </w:tc>
        <w:tc>
          <w:tcPr>
            <w:tcW w:w="0" w:type="auto"/>
            <w:hideMark/>
          </w:tcPr>
          <w:p w:rsidR="00462CB8" w:rsidRPr="00462CB8" w:rsidRDefault="00462CB8" w:rsidP="00462CB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62CB8">
              <w:rPr>
                <w:sz w:val="24"/>
                <w:szCs w:val="24"/>
                <w:lang w:eastAsia="ru-RU"/>
              </w:rPr>
              <w:t>дело могло быть рассмотрено по существу</w:t>
            </w:r>
          </w:p>
        </w:tc>
      </w:tr>
    </w:tbl>
    <w:p w:rsidR="00843233" w:rsidRPr="00C80204" w:rsidRDefault="00843233" w:rsidP="00843233">
      <w:pPr>
        <w:pStyle w:val="a3"/>
      </w:pPr>
    </w:p>
    <w:p w:rsidR="00843233" w:rsidRPr="00C80204" w:rsidRDefault="00843233" w:rsidP="00843233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C80204">
        <w:rPr>
          <w:sz w:val="24"/>
          <w:szCs w:val="24"/>
        </w:rPr>
        <w:t>Схема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pacing w:val="-2"/>
          <w:sz w:val="24"/>
          <w:szCs w:val="24"/>
        </w:rPr>
        <w:t>процесса</w:t>
      </w:r>
    </w:p>
    <w:p w:rsidR="00843233" w:rsidRPr="00C80204" w:rsidRDefault="00843233" w:rsidP="00843233">
      <w:pPr>
        <w:pStyle w:val="a3"/>
        <w:spacing w:before="63"/>
      </w:pPr>
    </w:p>
    <w:p w:rsidR="00843233" w:rsidRPr="00C80204" w:rsidRDefault="00843233" w:rsidP="00843233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C80204">
        <w:rPr>
          <w:sz w:val="24"/>
          <w:szCs w:val="24"/>
        </w:rPr>
        <w:t>Описание</w:t>
      </w:r>
      <w:r w:rsidRPr="00C80204">
        <w:rPr>
          <w:spacing w:val="-7"/>
          <w:sz w:val="24"/>
          <w:szCs w:val="24"/>
        </w:rPr>
        <w:t xml:space="preserve"> </w:t>
      </w:r>
      <w:r w:rsidRPr="00C80204">
        <w:rPr>
          <w:sz w:val="24"/>
          <w:szCs w:val="24"/>
        </w:rPr>
        <w:t>схемы</w:t>
      </w:r>
      <w:r w:rsidRPr="00C80204">
        <w:rPr>
          <w:spacing w:val="-6"/>
          <w:sz w:val="24"/>
          <w:szCs w:val="24"/>
        </w:rPr>
        <w:t xml:space="preserve"> </w:t>
      </w:r>
      <w:r w:rsidRPr="00C80204">
        <w:rPr>
          <w:spacing w:val="-2"/>
          <w:sz w:val="24"/>
          <w:szCs w:val="24"/>
        </w:rPr>
        <w:t>процесса</w:t>
      </w:r>
    </w:p>
    <w:tbl>
      <w:tblPr>
        <w:tblStyle w:val="a9"/>
        <w:tblW w:w="18420" w:type="dxa"/>
        <w:tblLook w:val="04A0" w:firstRow="1" w:lastRow="0" w:firstColumn="1" w:lastColumn="0" w:noHBand="0" w:noVBand="1"/>
      </w:tblPr>
      <w:tblGrid>
        <w:gridCol w:w="520"/>
        <w:gridCol w:w="6280"/>
        <w:gridCol w:w="8400"/>
        <w:gridCol w:w="3220"/>
      </w:tblGrid>
      <w:tr w:rsidR="00852AF6" w:rsidRPr="00852AF6" w:rsidTr="00761D8D">
        <w:trPr>
          <w:trHeight w:val="6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852AF6" w:rsidRPr="00852AF6" w:rsidTr="00761D8D">
        <w:trPr>
          <w:trHeight w:val="18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Происходит подготовка дела к СЗ/ПСЗ / Проверка извещения участников процесса перед заседанием / Контроль уведомления сторон о СЗ/ПСЗ / Подготовка дела к рассмотрению по существу / Зафиксирован факт того, что участник заявил о неполучении направления/ Истек контрольный срок доставки корреспонденции / Обновилась информация в системе отслеживания почтовых отправлений / В деле нет подтверждения вручения ранее направленных документов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факт возникновения основания для инициирования процесса контроля надлежащего уведомления участников и запустить процесс. Возможные основания: подготовка дела к СЗ/ПСЗ; проверка извещения участников перед заседанием; заявление участника о неполучении направления; истечение контрольного срока доставки корреспонденции; обновление информации в системе отслеживания почтовых отправлений; отсутствие в деле подтверждения вручения ранее направленных документов. Бизнес-правила: (1) ненадлежащее уведомление влечёт отмену судебного акта в апелляционной или кассационной инстанции; (2) уклонение от получения корреспонденции (отказ, неполучение при хранении на почте) признаётся надлежащим извещением. Автоматическое уведомление системы при наступлении определённых событий.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Развилка «ИЛИ/И»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Развилка «ИЛИ/И»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Раз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делить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процесс на параллельные потоки проверки по всем применённым способам извещения участников процесса. Активируемые ветви: почтовая корреспонденция (шаг 2), публикация в КАД (шаг 3), факс (шаг 10), телефон (шаг 12), телеграмма (шаг 14). Бизнес-правило: участник может быть извещён несколькими способами одновременно; проверка должна охватывать все использованные способы для корректного формирования итогового статуса.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5" w:history="1">
              <w:r w:rsidRPr="00761D8D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ТБП3.Контроль статусов отправленной корреспонденции</w:t>
              </w:r>
            </w:hyperlink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Инициировать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типовой бизнес-процесс «Контроль статусов отправленной корреспонденции» при наличии факта направления почтовой корреспонденции участнику. Результат: актуальный статус доставки с проверкой подтверждений вручения. Возможные статусы доставки: «Вручено», «Не вручено», «Возвращено отправителю», «В пути». Бизнес-правило: отсутствие подтверждения вручения при истечении контрольного срока является основанием для признания извещения ненадлежащим. Интеграция с почтовыми службами для автоматического получения статусов.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Проверить публикацию в КАД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Автоматически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проверить в ПК САД наличие у корреспонденции статуса «Опубликовано в КАД» как способа уведомления через публикацию судебного акта. Возможные статусы: «Опубликовано в КАД»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переход к шагу 4; </w:t>
            </w:r>
            <w:r w:rsidR="008B48E1">
              <w:rPr>
                <w:color w:val="000000"/>
                <w:sz w:val="24"/>
                <w:szCs w:val="24"/>
                <w:lang w:eastAsia="ru-RU"/>
              </w:rPr>
              <w:t>была ошибка публикации нет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переход к шагу 6. Бизнес-правило: публикация судебного акта в Картотеке арбитражных дел (КАД) является самостоятельным основанием для признания участника надлежащим образом извещённым в соответствии с АПК РФ.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Была ошибка публикации?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факт наличия ошибки публикации с учётом бизнес-правила о допустимом числе попыток. Бизнес-правило: при первичной публикации предусмотрено не более 3 повторных автоматических попыток. Ошибка после 3-й попытки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переход к шагу 5 (уведомление пользователя для ручной публикации). Отсутствие ошибки или успешная публикация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переход к шагу </w:t>
            </w:r>
            <w:r w:rsidR="00B54B2E">
              <w:rPr>
                <w:color w:val="000000"/>
                <w:sz w:val="24"/>
                <w:szCs w:val="24"/>
                <w:lang w:eastAsia="ru-RU"/>
              </w:rPr>
              <w:t>6</w:t>
            </w:r>
            <w:bookmarkStart w:id="0" w:name="_GoBack"/>
            <w:bookmarkEnd w:id="0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(закрывающий шлюз).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Система рекомендует повторную публикацию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Сформировать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и направить пользователю системное уведомление о необходимости запуска ручной публикации документа после исчерпания 3 автоматических попыток. Статус публикации: «Не опубликовано в КАД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требуется ручная публикация». Уведомление содержит: идентификатор пакета документов, количество неудачных попыток, временные метки, рекомендуемое действие.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ветви потока управления, возникшие после эксклюзивного шлюза «Была ошибка публикации?» (шаг 4), для продолжения процесса в единый поток перед переходом к закрывающему шлюзу.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Запустить повторную публикацию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Запустить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публикацию документа в ручном режиме через функционал системы после получения уведомления об исчерпании автоматических попыток. Пользователь инициирует публикацию вручную с передачей управления системе для выполнения шага 8. Результат выполнения: передача пакета документов в систему для запуска публикации (шаг 8).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Запустить публикацию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Автоматически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запустить процесс публикации пакета документов и получить статусы публикации и доставки. Результирующие статусы: «Опубликовано в КАД» (успех) или «Ошибка публикации» (неуспех). При ошибке формируется отчёт для технической поддержки (шаг 9).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Отправить отчет об ошибке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Автоматически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сформировать отчёт о первичной или повторной ошибке публикации документов и направить его в службу технической поддержки для анализа причин и устранения. Отчёт содержит: идентификатор пакета документов, описание ошибки, количество попыток, временные метки. Результат: сформирован отчёт об ошибке со статусом «Направлено в техническую поддержку»; идентификатор отчёта фиксируется в системе.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Предоставить данные по скану квитанции о приеме факса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Получить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>, распознать и представить данные из квитанции о приеме факса с записью сведений о статусе уведомления участника в дело для последующей проверки факсимильного извещения. Результат: данные квитанции и статус уведомления участника зафиксированы в деле и доступны для проверки.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Проверить данные в системе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корректность данных о квитанции о приёме факса, внесённых системой автоматически, с верификацией даты приёма и реквизитов получателя. Бизнес-правило: квитанция о приёме факса должна подтверждать факт и дату извещения участника. При выявлении расхождений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внести исправления вручную. Результат: данные о квитанции верифицированы и сохранены в системе; статус уведомления участника: «Извещён по факсу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данные проверены».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Предоставить данные о телефонограмме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Получить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>, распознать и представить данные о телефонограмме с записью сведений о статусе уведомления участника в дело для последующей проверки телефонного извещения. Результат: сведения о телефонограмме и статус уведомления участника зафиксированы в деле и доступны для проверки.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Проверить составление телефонограммы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корректность и полноту транскрибированных данных телефонограммы как документального подтверждения телефонного извещения участника. Бизнес-правило: телефонограмма должна содержать дату, время, данные о лице, принявшем звонок, и содержание извещения. Сохранить проверенные данные в системе. Результат: данные телефонограммы верифицированы и сохранены в системе; статус уведомления участника: «Извещён по телефону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телефонограмма проверена».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Предоставить данные о телеграмме с отметкой оператора связи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Получить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по интеграционному каналу и представить сведения о телеграмме с отметкой оператора связи с записью данных в дело по конкретному участнику для последующей проверки телеграфного извещения. Результат: сведения по телеграмме зафиксированы в деле по участнику и доступны для проверки.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Проверить копию телеграммы с отметкой оператора связи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наличие и корректность копии телеграммы с отметкой оператора связи о приёме к передаче как документального подтверждения надлежащего извещения участника. Бизнес-правило: отсутствие отметки оператора не позволяет признать извещение надлежащим. Интеграция с операторами связи обеспечивает автоматическое получение подтверждений. Результат: данные телеграммы с отметкой оператора верифицированы и сохранены в системе; статус уведомления участника: «Извещён телеграммой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данные проверены».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Назначение: Объединить результаты всех параллельных потоков проверки способов извещения (шаги 2,  11, 13, 15) для перехода к этапу консолидации данных о статусах извещения всех участников процесса.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Сформировать список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Автоматически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сформировать консолидированный список участников процесса с назначением каждому проверенных способов и статусов извещения согласно материалам дела. Состав записи по участнику: наименование/ФИО, способ(ы) извещения, статус доставки, подтверждение вручения, итоговый статус извещения.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Список участников процесса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Есть не извещенные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наличие участников процесса с неопределённым или отрицательным статусом извещения. Статусы, при которых участник считается не извещённым: «Не вручено», «Возвращено отправителю», «Не опубликовано в КАД», «Квитанция факса отсутствует», «Телефонограмма отсутствует», «Отметка оператора отсутствует». Есть не извещённые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переход к шагу 19; все извещены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переход к шагу 20.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Внести в список сведения о </w:t>
            </w:r>
            <w:proofErr w:type="spellStart"/>
            <w:r w:rsidRPr="00852AF6">
              <w:rPr>
                <w:color w:val="000000"/>
                <w:sz w:val="24"/>
                <w:szCs w:val="24"/>
                <w:lang w:eastAsia="ru-RU"/>
              </w:rPr>
              <w:t>неизвещенных</w:t>
            </w:r>
            <w:proofErr w:type="spellEnd"/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Присвоить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не извещённым участникам процесса статус «Не извещён» в системе с указанием причины и способа, по которому не получено подтверждение. Уведомить пользователя при приближении или наступлении процессуального срока для принятия своевременных мер по повторному уведомлению.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Назначение: Объединить ветви потока управления, возникшие после шага 18 (ветвь «Есть не извещённые» и ветвь «Все извещены»), для перехода к сохранению консолидированных данных о статусах извещения.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Сохранить данные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Сохранить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в системе консолидированные данные о статусах извещённых и не извещённых участников процесса для последующего использования при принятии судьёй процессуального решения. Сохраняемые данные: список участников, статусы извещения, способы извещения, подтверждения вручения.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Уведомить пользователя о наступлении срока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Рассчитать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дату ознакомления и готовность статусов участников, после чего направить пользователю уведомление о наступлении либо истечении контрольного срока проверки извещения. Результат: пользователь своевременно проинформирован о необходимости выполнения проверки.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Доложить судье статус извещения участников?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необходимость доклада судье о результатах проверки надлежащего извещения участников. Критерии для обязательного доклада: наличие участников со статусом «Не извещён»; наличие спорных или неопределённых статусов; приближение даты судебного заседания. «Да»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переход к шагу 25 (доклад судье); «Нет»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переход к шагу 24 (завершение без доклада).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Простое завершающее событие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Завершить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процесс контроля надлежащего уведомления без доклада судье при подтверждении надлежащего извещения всех участников и отсутствии необходимости доклада. Итоговый статус процесса: «Завершён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доклад судье не требуется».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Доложить судье статус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Передать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судье сведения о результатах проверки надлежащего извещения всех участников процесса посредством нажатия кнопки «Данные проверок надлежащего извещения верны» в системе. Система формирует событие для судьи. Доклад содержит: список участников, итоговые статусы извещения, способы и подтверждения по каждому участнику.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судебного заседания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Получить сведения о статусе извещения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Предоставить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судье для ознакомления сведения о статусе извещения по каждому участнику процесса с указанием способа извещения и его статуса. Результат: судья располагает структурированными сведениями, необходимыми для принятия решения о надлежащем либо ненадлежащем извещении.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Сформировать рекомендацию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На основе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консолидированных данных о надлежащем извещении и процессуальных сроков автоматически сформировать и направить судье событие с рекомендацией по дальнейшим процессуальным действиям. Рекомендация включает: итоговые статусы извещения участников, оценку соответствия требованиям процессуального законодательства, предлагаемое решение по дальнейшему ходу дела.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Участники извещены надлежащим образом?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решение судьи о </w:t>
            </w:r>
            <w:proofErr w:type="spellStart"/>
            <w:r w:rsidRPr="00852AF6">
              <w:rPr>
                <w:color w:val="000000"/>
                <w:sz w:val="24"/>
                <w:szCs w:val="24"/>
                <w:lang w:eastAsia="ru-RU"/>
              </w:rPr>
              <w:t>надлежащести</w:t>
            </w:r>
            <w:proofErr w:type="spell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или </w:t>
            </w:r>
            <w:proofErr w:type="spellStart"/>
            <w:r w:rsidRPr="00852AF6">
              <w:rPr>
                <w:color w:val="000000"/>
                <w:sz w:val="24"/>
                <w:szCs w:val="24"/>
                <w:lang w:eastAsia="ru-RU"/>
              </w:rPr>
              <w:t>ненадлежащести</w:t>
            </w:r>
            <w:proofErr w:type="spell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извещения участников на основании представленных сведений. Бизнес-правила: (1) надлежащее извещение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необходимое условие для рассмотрения дела в отсутствие участника; (2) ненадлежащее извещение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нарушение процессуальных норм, влекущее отмену судебного акта. «Да»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переход к шагу 31; «Нет»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переход к шагу 29.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Признать извещение ненадлежащим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решение о признании извещения участников процесса ненадлежащим на основании сведений о статусе извещения и представленных доказательств по каждому уведомлению. Результат: принято решение о ненадлежащем извещении участников процесса.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Простое завершающее событие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Завершить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процесс контроля надлежащего уведомления с результатом «Извещение признано ненадлежащим». Итоговый статус процесса: «Завершён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требуется повторное уведомление». Инициирован повторный процесс уведомления участника (участников).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Признать извещение надлежащим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решение о признании извещения участников процесса надлежащим на основании сведений о статусе извещения и представленных доказательств по каждому уведомлению. Результат: принято решение о надлежащем извещении участников процесса.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52AF6" w:rsidRPr="00852AF6" w:rsidTr="00761D8D">
        <w:trPr>
          <w:trHeight w:val="1500"/>
        </w:trPr>
        <w:tc>
          <w:tcPr>
            <w:tcW w:w="5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628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Простое завершающее событие</w:t>
            </w:r>
          </w:p>
        </w:tc>
        <w:tc>
          <w:tcPr>
            <w:tcW w:w="840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Завершить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процесс контроля надлежащего уведомления с результатом «Извещение участников процесса признано надлежащим». Итоговый статус процесса: «Завершён </w:t>
            </w:r>
            <w:r w:rsidR="00761D8D" w:rsidRPr="00761D8D">
              <w:rPr>
                <w:color w:val="000000"/>
                <w:sz w:val="24"/>
                <w:szCs w:val="24"/>
                <w:lang w:eastAsia="ru-RU"/>
              </w:rPr>
              <w:t>-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извещение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t xml:space="preserve"> надлежащее». Дело может быть рассмотрено в соответствии с процессуальными нормами, в том числе в отсутствие надлежащим образом извещённого участника.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852AF6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852AF6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852AF6" w:rsidRPr="00852AF6" w:rsidRDefault="00852AF6" w:rsidP="00761D8D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852AF6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843233" w:rsidRPr="00C80204" w:rsidRDefault="00843233" w:rsidP="00843233">
      <w:pPr>
        <w:rPr>
          <w:sz w:val="24"/>
          <w:szCs w:val="24"/>
        </w:rPr>
      </w:pPr>
    </w:p>
    <w:p w:rsidR="00843233" w:rsidRPr="00C80204" w:rsidRDefault="00843233" w:rsidP="00843233">
      <w:pPr>
        <w:pStyle w:val="a6"/>
        <w:numPr>
          <w:ilvl w:val="1"/>
          <w:numId w:val="16"/>
        </w:numPr>
        <w:tabs>
          <w:tab w:val="left" w:pos="660"/>
        </w:tabs>
        <w:spacing w:line="278" w:lineRule="auto"/>
        <w:ind w:left="240" w:right="342" w:firstLine="0"/>
        <w:rPr>
          <w:sz w:val="24"/>
          <w:szCs w:val="24"/>
        </w:rPr>
      </w:pPr>
      <w:r w:rsidRPr="00C80204">
        <w:rPr>
          <w:sz w:val="24"/>
          <w:szCs w:val="24"/>
        </w:rPr>
        <w:t>Реестр</w:t>
      </w:r>
      <w:r w:rsidRPr="00C80204">
        <w:rPr>
          <w:spacing w:val="-4"/>
          <w:sz w:val="24"/>
          <w:szCs w:val="24"/>
        </w:rPr>
        <w:t xml:space="preserve"> </w:t>
      </w:r>
      <w:r w:rsidRPr="00C80204">
        <w:rPr>
          <w:sz w:val="24"/>
          <w:szCs w:val="24"/>
        </w:rPr>
        <w:t>UC</w:t>
      </w:r>
      <w:r w:rsidRPr="00C80204">
        <w:rPr>
          <w:spacing w:val="40"/>
          <w:sz w:val="24"/>
          <w:szCs w:val="24"/>
        </w:rPr>
        <w:t xml:space="preserve"> </w:t>
      </w:r>
      <w:r w:rsidRPr="00C80204">
        <w:rPr>
          <w:sz w:val="24"/>
          <w:szCs w:val="24"/>
        </w:rPr>
        <w:t>(в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части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выполняемых</w:t>
      </w:r>
      <w:r w:rsidRPr="00C80204">
        <w:rPr>
          <w:spacing w:val="40"/>
          <w:sz w:val="24"/>
          <w:szCs w:val="24"/>
        </w:rPr>
        <w:t xml:space="preserve"> </w:t>
      </w:r>
      <w:r w:rsidRPr="00C80204">
        <w:rPr>
          <w:sz w:val="24"/>
          <w:szCs w:val="24"/>
        </w:rPr>
        <w:t>пользователем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задач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и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рекомендованной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 xml:space="preserve">функциональности </w:t>
      </w:r>
      <w:r w:rsidRPr="00C80204">
        <w:rPr>
          <w:spacing w:val="-2"/>
          <w:sz w:val="24"/>
          <w:szCs w:val="24"/>
        </w:rPr>
        <w:t>Системы)</w:t>
      </w:r>
    </w:p>
    <w:p w:rsidR="006A0B97" w:rsidRPr="00C80204" w:rsidRDefault="006A0B97" w:rsidP="00843233">
      <w:pPr>
        <w:rPr>
          <w:sz w:val="24"/>
          <w:szCs w:val="24"/>
        </w:rPr>
      </w:pPr>
    </w:p>
    <w:sectPr w:rsidR="006A0B97" w:rsidRPr="00C80204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A54447C"/>
    <w:multiLevelType w:val="hybridMultilevel"/>
    <w:tmpl w:val="1ABCE6F0"/>
    <w:lvl w:ilvl="0" w:tplc="1F6CCA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7EBDA8">
      <w:numFmt w:val="decimal"/>
      <w:lvlText w:val=""/>
      <w:lvlJc w:val="left"/>
    </w:lvl>
    <w:lvl w:ilvl="2" w:tplc="5F2234AC">
      <w:numFmt w:val="decimal"/>
      <w:lvlText w:val=""/>
      <w:lvlJc w:val="left"/>
    </w:lvl>
    <w:lvl w:ilvl="3" w:tplc="3950297A">
      <w:numFmt w:val="decimal"/>
      <w:lvlText w:val=""/>
      <w:lvlJc w:val="left"/>
    </w:lvl>
    <w:lvl w:ilvl="4" w:tplc="8AE891A8">
      <w:numFmt w:val="decimal"/>
      <w:lvlText w:val=""/>
      <w:lvlJc w:val="left"/>
    </w:lvl>
    <w:lvl w:ilvl="5" w:tplc="6040E868">
      <w:numFmt w:val="decimal"/>
      <w:lvlText w:val=""/>
      <w:lvlJc w:val="left"/>
    </w:lvl>
    <w:lvl w:ilvl="6" w:tplc="701ECDAA">
      <w:numFmt w:val="decimal"/>
      <w:lvlText w:val=""/>
      <w:lvlJc w:val="left"/>
    </w:lvl>
    <w:lvl w:ilvl="7" w:tplc="6E82FE88">
      <w:numFmt w:val="decimal"/>
      <w:lvlText w:val=""/>
      <w:lvlJc w:val="left"/>
    </w:lvl>
    <w:lvl w:ilvl="8" w:tplc="3F8A0846">
      <w:numFmt w:val="decimal"/>
      <w:lvlText w:val=""/>
      <w:lvlJc w:val="left"/>
    </w:lvl>
  </w:abstractNum>
  <w:abstractNum w:abstractNumId="8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55294347"/>
    <w:multiLevelType w:val="hybridMultilevel"/>
    <w:tmpl w:val="8CD8A3C4"/>
    <w:lvl w:ilvl="0" w:tplc="CA40B49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2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093F"/>
    <w:rsid w:val="00020681"/>
    <w:rsid w:val="00037E74"/>
    <w:rsid w:val="00053EE7"/>
    <w:rsid w:val="00073004"/>
    <w:rsid w:val="000751D7"/>
    <w:rsid w:val="000859A9"/>
    <w:rsid w:val="00085F72"/>
    <w:rsid w:val="000A24AA"/>
    <w:rsid w:val="000A781B"/>
    <w:rsid w:val="000C3F05"/>
    <w:rsid w:val="000D085D"/>
    <w:rsid w:val="000F4367"/>
    <w:rsid w:val="001024BD"/>
    <w:rsid w:val="00103293"/>
    <w:rsid w:val="0011352A"/>
    <w:rsid w:val="00132272"/>
    <w:rsid w:val="001326C2"/>
    <w:rsid w:val="001345D2"/>
    <w:rsid w:val="001379E5"/>
    <w:rsid w:val="00142D99"/>
    <w:rsid w:val="00144A51"/>
    <w:rsid w:val="00160C2D"/>
    <w:rsid w:val="00173A5A"/>
    <w:rsid w:val="001A0C2D"/>
    <w:rsid w:val="002200A0"/>
    <w:rsid w:val="002227F5"/>
    <w:rsid w:val="00230B66"/>
    <w:rsid w:val="00251D74"/>
    <w:rsid w:val="00270D24"/>
    <w:rsid w:val="00287D99"/>
    <w:rsid w:val="00290DAB"/>
    <w:rsid w:val="002A465D"/>
    <w:rsid w:val="002A71A5"/>
    <w:rsid w:val="002A71C5"/>
    <w:rsid w:val="002E1F72"/>
    <w:rsid w:val="002E725E"/>
    <w:rsid w:val="002E7324"/>
    <w:rsid w:val="003168C0"/>
    <w:rsid w:val="00323FED"/>
    <w:rsid w:val="00335474"/>
    <w:rsid w:val="00335DBA"/>
    <w:rsid w:val="00336910"/>
    <w:rsid w:val="00374FA2"/>
    <w:rsid w:val="00376557"/>
    <w:rsid w:val="00383BA4"/>
    <w:rsid w:val="003B1E66"/>
    <w:rsid w:val="003C0452"/>
    <w:rsid w:val="00400AE3"/>
    <w:rsid w:val="00411D7A"/>
    <w:rsid w:val="00414558"/>
    <w:rsid w:val="0043317F"/>
    <w:rsid w:val="00462CB8"/>
    <w:rsid w:val="00470014"/>
    <w:rsid w:val="00497459"/>
    <w:rsid w:val="004A746F"/>
    <w:rsid w:val="004D49F5"/>
    <w:rsid w:val="00513475"/>
    <w:rsid w:val="00514654"/>
    <w:rsid w:val="005215FC"/>
    <w:rsid w:val="0052264F"/>
    <w:rsid w:val="005373AD"/>
    <w:rsid w:val="00564348"/>
    <w:rsid w:val="00587AB7"/>
    <w:rsid w:val="005A478C"/>
    <w:rsid w:val="005A7083"/>
    <w:rsid w:val="005B0242"/>
    <w:rsid w:val="005B1708"/>
    <w:rsid w:val="006028C5"/>
    <w:rsid w:val="00604AD6"/>
    <w:rsid w:val="00605C18"/>
    <w:rsid w:val="00606F10"/>
    <w:rsid w:val="00615924"/>
    <w:rsid w:val="00620E7E"/>
    <w:rsid w:val="00630935"/>
    <w:rsid w:val="00636380"/>
    <w:rsid w:val="006416B6"/>
    <w:rsid w:val="00652896"/>
    <w:rsid w:val="00663953"/>
    <w:rsid w:val="006971F3"/>
    <w:rsid w:val="006A0B97"/>
    <w:rsid w:val="006A255B"/>
    <w:rsid w:val="006C0D1C"/>
    <w:rsid w:val="006E605E"/>
    <w:rsid w:val="0070628D"/>
    <w:rsid w:val="0071124A"/>
    <w:rsid w:val="00730391"/>
    <w:rsid w:val="00761D8D"/>
    <w:rsid w:val="00791FB8"/>
    <w:rsid w:val="007B5BC7"/>
    <w:rsid w:val="007C298F"/>
    <w:rsid w:val="007C52BF"/>
    <w:rsid w:val="00820F61"/>
    <w:rsid w:val="008223B8"/>
    <w:rsid w:val="00843233"/>
    <w:rsid w:val="00852AF6"/>
    <w:rsid w:val="00863EA0"/>
    <w:rsid w:val="008877E8"/>
    <w:rsid w:val="008A4188"/>
    <w:rsid w:val="008B48E1"/>
    <w:rsid w:val="008B7666"/>
    <w:rsid w:val="008D5EDC"/>
    <w:rsid w:val="00900041"/>
    <w:rsid w:val="00903DCE"/>
    <w:rsid w:val="009206AD"/>
    <w:rsid w:val="00922B3F"/>
    <w:rsid w:val="00932CE0"/>
    <w:rsid w:val="00932EA2"/>
    <w:rsid w:val="009733FE"/>
    <w:rsid w:val="009952C8"/>
    <w:rsid w:val="009A2426"/>
    <w:rsid w:val="009A3B89"/>
    <w:rsid w:val="009A61CF"/>
    <w:rsid w:val="009A689A"/>
    <w:rsid w:val="00A0348F"/>
    <w:rsid w:val="00A12027"/>
    <w:rsid w:val="00A175E4"/>
    <w:rsid w:val="00A2629D"/>
    <w:rsid w:val="00A276A2"/>
    <w:rsid w:val="00A34592"/>
    <w:rsid w:val="00A511AA"/>
    <w:rsid w:val="00A55FD4"/>
    <w:rsid w:val="00A77767"/>
    <w:rsid w:val="00A8018F"/>
    <w:rsid w:val="00A863C7"/>
    <w:rsid w:val="00AA00FC"/>
    <w:rsid w:val="00AA3587"/>
    <w:rsid w:val="00AA7968"/>
    <w:rsid w:val="00AD45BE"/>
    <w:rsid w:val="00AE0235"/>
    <w:rsid w:val="00AF74D4"/>
    <w:rsid w:val="00B009A7"/>
    <w:rsid w:val="00B04574"/>
    <w:rsid w:val="00B13DBE"/>
    <w:rsid w:val="00B43A69"/>
    <w:rsid w:val="00B51F80"/>
    <w:rsid w:val="00B54B2E"/>
    <w:rsid w:val="00B76171"/>
    <w:rsid w:val="00B90455"/>
    <w:rsid w:val="00B92636"/>
    <w:rsid w:val="00BC225F"/>
    <w:rsid w:val="00BC3FC8"/>
    <w:rsid w:val="00BD64BC"/>
    <w:rsid w:val="00BE309D"/>
    <w:rsid w:val="00BF00B1"/>
    <w:rsid w:val="00BF7FF4"/>
    <w:rsid w:val="00C059E1"/>
    <w:rsid w:val="00C06E3C"/>
    <w:rsid w:val="00C0783C"/>
    <w:rsid w:val="00C24343"/>
    <w:rsid w:val="00C34716"/>
    <w:rsid w:val="00C3788C"/>
    <w:rsid w:val="00C67823"/>
    <w:rsid w:val="00C732D5"/>
    <w:rsid w:val="00C80204"/>
    <w:rsid w:val="00C879B9"/>
    <w:rsid w:val="00C92271"/>
    <w:rsid w:val="00CC5486"/>
    <w:rsid w:val="00CF5EFA"/>
    <w:rsid w:val="00D27BA5"/>
    <w:rsid w:val="00D30445"/>
    <w:rsid w:val="00D51B5F"/>
    <w:rsid w:val="00D54EE8"/>
    <w:rsid w:val="00D66473"/>
    <w:rsid w:val="00D83802"/>
    <w:rsid w:val="00DA2D9F"/>
    <w:rsid w:val="00DB03A9"/>
    <w:rsid w:val="00DC1B13"/>
    <w:rsid w:val="00DD742A"/>
    <w:rsid w:val="00DE4DFC"/>
    <w:rsid w:val="00DE6A68"/>
    <w:rsid w:val="00E1758B"/>
    <w:rsid w:val="00E30141"/>
    <w:rsid w:val="00E35595"/>
    <w:rsid w:val="00E5567B"/>
    <w:rsid w:val="00E66BD8"/>
    <w:rsid w:val="00E83B1B"/>
    <w:rsid w:val="00E91123"/>
    <w:rsid w:val="00EA404C"/>
    <w:rsid w:val="00EB0F67"/>
    <w:rsid w:val="00EC408B"/>
    <w:rsid w:val="00EC5BD5"/>
    <w:rsid w:val="00EE7805"/>
    <w:rsid w:val="00F04FE8"/>
    <w:rsid w:val="00F078E7"/>
    <w:rsid w:val="00F14219"/>
    <w:rsid w:val="00F42E64"/>
    <w:rsid w:val="00F50C4A"/>
    <w:rsid w:val="00F65448"/>
    <w:rsid w:val="00F80999"/>
    <w:rsid w:val="00FA4F17"/>
    <w:rsid w:val="00FB1796"/>
    <w:rsid w:val="00FB6C20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56908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17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0C2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7">
    <w:name w:val="Strong"/>
    <w:basedOn w:val="a0"/>
    <w:uiPriority w:val="22"/>
    <w:qFormat/>
    <w:rsid w:val="00383BA4"/>
    <w:rPr>
      <w:b/>
      <w:bCs/>
    </w:rPr>
  </w:style>
  <w:style w:type="table" w:styleId="a8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9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A0C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B17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43233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Normal (Web)"/>
    <w:basedOn w:val="a"/>
    <w:uiPriority w:val="99"/>
    <w:semiHidden/>
    <w:unhideWhenUsed/>
    <w:rsid w:val="00EC408B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tpm-wiki.mos.ru/pages/viewpage.action?pageId=5331599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3454</Words>
  <Characters>19694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172</cp:revision>
  <dcterms:created xsi:type="dcterms:W3CDTF">2025-12-18T13:25:00Z</dcterms:created>
  <dcterms:modified xsi:type="dcterms:W3CDTF">2026-03-18T10:20:00Z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