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Матрица «Участник/роль»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990"/>
        <w:gridCol w:w="989"/>
        <w:gridCol w:w="3960"/>
        <w:gridCol w:w="1621"/>
        <w:gridCol w:w="1800"/>
      </w:tblGrid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матрицы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участника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роли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Роль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лица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Иностранное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жалобы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Солидарный 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Территориальный орган ФССП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коллегиального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контроль гос. договоров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Экспертная 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Техническая служба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Подрядчик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научно-консультативного совета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эксплуатирующей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СМИ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Экспертно-проверочная 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Поставщик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Иностранный суд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Компетентный орган иностранного государства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М1.777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М1.778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М1.779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Свидетель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М1.780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М1.781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М1.782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М1.783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М1.784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М1.785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М1.786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swiss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Palati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suppressAutoHyphens w:val="true"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suppressAutoHyphens w:val="true"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51</Pages>
  <Words>6934</Words>
  <Characters>50279</Characters>
  <CharactersWithSpaces>53277</CharactersWithSpaces>
  <Paragraphs>3936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2026-05-13T17:19:39Z</dcterms:modified>
  <cp:revision>2</cp:revision>
  <dc:subject/>
  <dc:title>matrica_uchastnik_rol.docx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