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Технологии Прикладного уровня</w:t>
      </w:r>
    </w:p>
    <w:tbl>
      <w:tblPr>
        <w:tblStyle w:val="afffff"/>
        <w:tblW w:w="9735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2"/>
        <w:gridCol w:w="4352"/>
      </w:tblGrid>
      <w:tr>
        <w:trPr>
          <w:tblHeader w:val="true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 w:left="0" w:right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 w:left="0" w:right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Среда исполнения и язык программирования</w:t>
            </w: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.NET (C#)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Хранение данных бизнес-доменов</w:t>
            </w: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PostgreSQL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Внутренний обмен сообщениями (для проекторов)</w:t>
            </w:r>
          </w:p>
        </w:tc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RabbitMQ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Palati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22</Words>
  <Characters>178</Characters>
  <CharactersWithSpaces>191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2026-05-13T16:05:00Z</dcterms:modified>
  <cp:revision>3</cp:revision>
  <dc:subject/>
  <dc:title>reestr_uchastnikov.docx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