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C47DD" w14:textId="77777777" w:rsidR="006F7DE5" w:rsidRDefault="003D5216">
      <w:pPr>
        <w:spacing w:after="240" w:line="36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Анфилова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 Александра МФР191</w:t>
      </w:r>
    </w:p>
    <w:p w14:paraId="60EDB808" w14:textId="77777777" w:rsidR="006F7DE5" w:rsidRDefault="003D5216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Афонина Юлия МФР191</w:t>
      </w:r>
    </w:p>
    <w:p w14:paraId="1ABA0771" w14:textId="77777777" w:rsidR="006F7DE5" w:rsidRDefault="003D5216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Смирнова Дарья МФР193</w:t>
      </w:r>
    </w:p>
    <w:p w14:paraId="6DBC292E" w14:textId="77777777" w:rsidR="006F7DE5" w:rsidRDefault="003D521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Проект IT для финансистов</w:t>
      </w:r>
    </w:p>
    <w:p w14:paraId="6684AD37" w14:textId="77777777" w:rsidR="006F7DE5" w:rsidRDefault="003D521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Построение торгового робота</w:t>
      </w:r>
    </w:p>
    <w:p w14:paraId="0AF5F937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Прежде чем перейти к коду торгового робота, необходимо прочесть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ниже изложенную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инструкцию.</w:t>
      </w:r>
    </w:p>
    <w:p w14:paraId="19666B7B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Инструкция по работе с кодом:</w:t>
      </w:r>
    </w:p>
    <w:p w14:paraId="0935FF84" w14:textId="77777777" w:rsidR="006F7DE5" w:rsidRDefault="003D5216">
      <w:pPr>
        <w:numPr>
          <w:ilvl w:val="0"/>
          <w:numId w:val="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Предварительно необходимо скачать Python3 с официального сайта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https://www.python.org/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77981669" w14:textId="77777777" w:rsidR="006F7DE5" w:rsidRDefault="003D521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 зайти во вкладку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Downloads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выбрать нужную операционную систему</w:t>
      </w:r>
    </w:p>
    <w:p w14:paraId="20A0A179" w14:textId="77777777" w:rsidR="006F7DE5" w:rsidRDefault="003D521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  скачать последний релиз</w:t>
      </w:r>
    </w:p>
    <w:p w14:paraId="4D5F6504" w14:textId="77777777" w:rsidR="006F7DE5" w:rsidRDefault="003D521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  установить с параметрами по умолчанию</w:t>
      </w:r>
    </w:p>
    <w:p w14:paraId="5FB31DEC" w14:textId="77777777" w:rsidR="006F7DE5" w:rsidRDefault="003D5216">
      <w:pPr>
        <w:numPr>
          <w:ilvl w:val="0"/>
          <w:numId w:val="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Также требуется скачать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Anaconda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 официального сайта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https://www.anaconda.com/distribution/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758FCDE8" w14:textId="77777777" w:rsidR="006F7DE5" w:rsidRDefault="003D521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  скачать последнюю версию для своей операционной системы</w:t>
      </w:r>
    </w:p>
    <w:p w14:paraId="28DB420E" w14:textId="77777777" w:rsidR="006F7DE5" w:rsidRDefault="003D521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  установить с параметрами по умолчанию</w:t>
      </w:r>
    </w:p>
    <w:p w14:paraId="7E81E7D4" w14:textId="77777777" w:rsidR="006F7DE5" w:rsidRDefault="003D5216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Запустить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Notebook</w:t>
      </w:r>
      <w:proofErr w:type="spellEnd"/>
    </w:p>
    <w:p w14:paraId="58A79A90" w14:textId="77777777" w:rsidR="006F7DE5" w:rsidRDefault="003D5216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После запуска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Notebook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автоматически откроется рабочая директория (каталог используемых в работе файлов). В рабочую директорию необходимо загрузить файл backtesting.csv для проведения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backtest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стратегий.</w:t>
      </w:r>
    </w:p>
    <w:p w14:paraId="30E16B8B" w14:textId="77777777" w:rsidR="006F7DE5" w:rsidRDefault="003D5216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Далее в эту же рабочую директорию загрузить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файл с кодом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Backtesting.ipynb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бэктестинга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стратегий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29608A" wp14:editId="48695D8E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753100" cy="1264920"/>
            <wp:effectExtent l="0" t="0" r="0" b="0"/>
            <wp:wrapTopAndBottom distT="0" distB="0"/>
            <wp:docPr id="1" name="image1.png" descr="https://lh3.googleusercontent.com/ZzfyDcrA1CwHsq4bBfVjKlx4SL9XLRe_PsoO0xp9oJfy1ASn_nfQC37lYa1QosB-iYYiTfBq55U-k-R3G3CGZ6RG4fmAicg8vSgkADJh0qD6C_bR8JPnQZMUJn8MPTpZI82MUn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ZzfyDcrA1CwHsq4bBfVjKlx4SL9XLRe_PsoO0xp9oJfy1ASn_nfQC37lYa1QosB-iYYiTfBq55U-k-R3G3CGZ6RG4fmAicg8vSgkADJh0qD6C_bR8JPnQZMUJn8MPTpZI82MUnr3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6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762E" w14:textId="77777777" w:rsidR="006F7DE5" w:rsidRDefault="003D5216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Для запуска торгового робота в рабочую директорию также необходимо загрузить и запустить скрипт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Final.ipynb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”</w:t>
      </w:r>
    </w:p>
    <w:p w14:paraId="14ADB5E1" w14:textId="77777777" w:rsidR="006F7DE5" w:rsidRDefault="003D5216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Для работы с кодом необходимо установить следующие библиотеки:</w:t>
      </w:r>
    </w:p>
    <w:p w14:paraId="6727332E" w14:textId="77777777" w:rsidR="006F7DE5" w:rsidRDefault="003D52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highlight w:val="white"/>
        </w:rPr>
        <w:drawing>
          <wp:inline distT="0" distB="0" distL="0" distR="0" wp14:anchorId="0D36FF1C" wp14:editId="11E58594">
            <wp:extent cx="3771900" cy="1295400"/>
            <wp:effectExtent l="0" t="0" r="0" b="0"/>
            <wp:docPr id="2" name="image2.png" descr="https://lh5.googleusercontent.com/hJgPdz0lthIM5AFL3LNIHQOIjc8Wmz7I__mEXUBp0gLgV5E_dgCjyJI7FVpkcy2Si_ATxfMCKAjuhtIcJWex22ZYe_KUE6kqzpMC0k2ogvoub3NygDOj7FrUNwSXGF7XdMpjIuT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hJgPdz0lthIM5AFL3LNIHQOIjc8Wmz7I__mEXUBp0gLgV5E_dgCjyJI7FVpkcy2Si_ATxfMCKAjuhtIcJWex22ZYe_KUE6kqzpMC0k2ogvoub3NygDOj7FrUNwSXGF7XdMpjIuTl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35F9F" w14:textId="77777777" w:rsidR="006F7DE5" w:rsidRDefault="003D5216">
      <w:pPr>
        <w:numPr>
          <w:ilvl w:val="0"/>
          <w:numId w:val="5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Все комментарии по коду находятся внутри скрипта</w:t>
      </w:r>
    </w:p>
    <w:p w14:paraId="5ED856E3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 Описание данных для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бэктестинга</w:t>
      </w:r>
      <w:proofErr w:type="spellEnd"/>
    </w:p>
    <w:p w14:paraId="2C8A3388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Бэктестинг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проводился на 2 выборках: учебная (2009-2018 гг.) и контрольная (2019-03.2020 гг.). В качестве данных выступали исторические цены обыкновенных акций Газпрома (GAZP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и мультипликатор цена/прибыль (p/e). Цены акций были взяты с часовым периодом. Источник данных: сайт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Финам.ру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CE7C5EB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Исходные данные для тестирования стратегий и робота</w:t>
      </w:r>
    </w:p>
    <w:p w14:paraId="72A09638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Стартовый капитал был обозначен в размере 1.000.000 руб. Требуемая доходность - минимум 20%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15AFD7FC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Далее были установлены комиссии брокера и биржи. В качестве брокера был выбран Сбербанк брокер ввиду отсутствия платы за обслуживания счета и меньшим комиссионным процентом среди аналогов. </w:t>
      </w:r>
    </w:p>
    <w:p w14:paraId="15FD98EB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Установленные Комиссии:</w:t>
      </w:r>
    </w:p>
    <w:p w14:paraId="3CE035F4" w14:textId="77777777" w:rsidR="006F7DE5" w:rsidRDefault="003D521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  Комиссия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брокера (Сбербанк): 0,06%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(ежемесячная плата за обслуживание счета не предусмотрена брокером)</w:t>
      </w:r>
    </w:p>
    <w:p w14:paraId="0082AF88" w14:textId="77777777" w:rsidR="006F7DE5" w:rsidRDefault="003D521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40"/>
          <w:szCs w:val="40"/>
          <w:highlight w:val="white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         Комиссия биржи (Московская биржа): 0,01%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footnoteReference w:id="2"/>
      </w:r>
    </w:p>
    <w:p w14:paraId="30949860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Далее с сайта investing.com было взято с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реднеотраслевое значение мультипликатора   p/e = 4,6, с которым в комбинированной стратегии будет сопоставляться мультипликатор рассматриваемой компании.</w:t>
      </w:r>
    </w:p>
    <w:p w14:paraId="4FA6558B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Протестированные стратегии:</w:t>
      </w:r>
    </w:p>
    <w:p w14:paraId="3B2CA374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рамках проведения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бэктестинга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были рассмотрены такие стратегии,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 SMA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STOCH-D,  AMA. Описание, каждой из стратегий представлено ниже.</w:t>
      </w:r>
    </w:p>
    <w:p w14:paraId="3A877527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Стратегия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buy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hold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Покупка в начале периода, продажа в конце периода.</w:t>
      </w:r>
    </w:p>
    <w:p w14:paraId="79A6351A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- Стратегия SMA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стратегия основана на простом скользящем среднем с параметром 12 (выявлен как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наиб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олее оптимальный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). Сделки совершаются после подачи сигналов. </w:t>
      </w:r>
    </w:p>
    <w:p w14:paraId="785021C6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Сигнал на покупку: после пересечения цены закрытия со скользящим средним, цена закрытия выше скользящего среднего. Если комбинировать с фундаментальным анализом, то значение мультипликатора долж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но быть меньше среднеотраслевого,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т.е.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рассматриваемая компания является недооцененной на рынке.</w:t>
      </w:r>
    </w:p>
    <w:p w14:paraId="352CA889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Сигнал на продажу: после пересечения цены закрытия со скользящим средним, цена закрытия ниже скользящего среднего.</w:t>
      </w:r>
    </w:p>
    <w:p w14:paraId="0D4A5023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Сделка совершается по цене открытия следующе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го периода согласно подходу, описанному в статье, на которую мы опирались.</w:t>
      </w:r>
    </w:p>
    <w:p w14:paraId="76F10350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- Стратегия AMA: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вариация стратегии, на основе простого скользящего среднего. Параметр определяется автоматически и приспосабливается к меняющимся условиям на рынке. Параметр опреде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ляется на основе отношения долгосрочного и краткосрочного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стандартных отклонений в разные моменты времени. Сигналы на покупку и продажу такие же, как в стратегии, основанной на простом скользящем среднем.</w:t>
      </w:r>
    </w:p>
    <w:p w14:paraId="17190189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- Стратегия STOCH-D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стратегия основана на пересече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нии двух линий стохастического осциллятора и его скользящего среднего.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Основная  линия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это %K, а вторая - сигнальная %D. Как правило, %D - это скользящее среднее значение от %K. Продажа актива наступает в тот момент, когда основная линия %K пересекает вн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из (становится ниже) сигнальную %D. Покупка производится, когда основная линия %K пересекает вверх (становится выше) сигнальную %D. Также данная стратегия дополняется условием, что продажа совершается в зоне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перекупленности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(выше 80%), а покупка - в зоне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ерепроданности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(ниже 20%).</w:t>
      </w:r>
    </w:p>
    <w:p w14:paraId="355CA6C8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Бэктестирование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проводилось для каждой из описанных стратегий на разных периодах, а также с использованием мультипликатора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без него. По результатам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бэктестирования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было решено оставить только стратегии, основанные на простом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скользящем среднем и осцилляторе, а также совместить технический анализ с фундаментальным, принимая во внимание мультипликатор для повышения качества получаемых сигналов.</w:t>
      </w:r>
    </w:p>
    <w:p w14:paraId="3E772178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Таким образом, было решено создать консервативного робота с комбинированной стратегией. </w:t>
      </w:r>
    </w:p>
    <w:p w14:paraId="7B4BD820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Описание торгового робота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vertAlign w:val="superscript"/>
        </w:rPr>
        <w:footnoteReference w:id="3"/>
      </w:r>
    </w:p>
    <w:p w14:paraId="27AF342B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Итоговая стратегия включает в себя две протестированные ранее стратегии: комбинированные с фундаментальным анализом SMA и STOCH-D. Выбор между двумя стратегиями производится внутри кода в зависимости от волатильности актива за период (год, день). Расчет во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латильности производится на основе цен закрытия. При волатильности меньше 30 и 1 для периода - год и день соответственно, используется стратегия, основанная на простом скользящем среднем, включая мультипликатор p/e. При большей волатильности используется с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тратегия STOCH-D, также с p/e.  </w:t>
      </w:r>
    </w:p>
    <w:p w14:paraId="077128DF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 наличие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сигнала на покупку/продажу на часовых данных возникает необходимость его подтверждения на более коротких периодах. В связи с этим, если сигнал присутствует, производится импорт минутных данных, на которых уже од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нозначно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принимается решение о покупке/продаже. Принципы выявления сигналов были описаны в пункте “Протестированные стратегии” настоящей документации.</w:t>
      </w:r>
    </w:p>
    <w:p w14:paraId="1B399EEC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 связи с консервативностью робота введено условие о невозможности совершения сделки по покупке более чем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на 30% от изначального капитала в размере 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млн.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рублей. </w:t>
      </w:r>
    </w:p>
    <w:p w14:paraId="0C928826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Далее представлена поэтапная работа робота с описанием каждого из его элементов</w:t>
      </w:r>
    </w:p>
    <w:p w14:paraId="6C7DC70F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1. Первая часть кода торгового робота представляет собой подключение к сервису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Финам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импортирование исторических да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нных за год по текущий момент времени для решения о входе/выходе из сделки по часовым данным.</w:t>
      </w:r>
    </w:p>
    <w:p w14:paraId="304A7F90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2D423F48" wp14:editId="61826FB1">
            <wp:extent cx="6540689" cy="126206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689" cy="126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C8D8E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Данный код предоставляет возможность выбора актива (ввод тикера ценной бумаги), периода изменения цены (часы, минуты, тики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), временной отрезок (данные за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год, день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).</w:t>
      </w:r>
    </w:p>
    <w:p w14:paraId="3D9F5D0C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Изначально скачиваются часовые данные за год.</w:t>
      </w:r>
    </w:p>
    <w:p w14:paraId="25C174BF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2. Далее устанавливаются входные данные: начальный капитал; доля от капитала, направляемая на совершение сделки; изначальный объем актива; волатильность за период; целевая волатильность; средн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еотраслевое значение мультипликатора.</w:t>
      </w:r>
    </w:p>
    <w:p w14:paraId="09A87FA2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3. Рассматривая часовые цены закрытия и их волатильность за год, принимается решение о выборе стратегии. При волатильности больше 30 используется стратегия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STOCH-D+pe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при волатильности меньше 30 используется стратегия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SMA+pe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0351ED4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4. После применения одной из стратегий проверяется наличие сигналов на сделку за последний день.</w:t>
      </w:r>
    </w:p>
    <w:p w14:paraId="30EC6E9A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5. Если сигнал присутствует, то импортируются минутные данные за последний день, если сигнала нет - сделка не совершается.</w:t>
      </w:r>
    </w:p>
    <w:p w14:paraId="795BDDA3" w14:textId="77777777" w:rsidR="006F7DE5" w:rsidRDefault="003D521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6. Проверяем наличие сигнал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а, основываясь на стратегии, выбранной также исходя из волатильности (новый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таргет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равный 1). При волатильности больше 1 используем стратегию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STOCH-D+pe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при волатильности меньше 1 используем стратегию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SMA+pe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5452B24C" w14:textId="77777777" w:rsidR="006F7DE5" w:rsidRDefault="003D5216">
      <w:pPr>
        <w:spacing w:before="240" w:after="24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6.1 При наличии сигнала на покупку оставляем з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аявку по цене равной средней между ценой закрытия и самой минимальной за период (CLOSE+LOW)/2. При покупке данного типа акций нельзя тратить более 30% от своего изначального капитала 1.000.000 руб.,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т.е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объем сделки = 1.000.000*30%/ ((CLOSE+LOW)/2) (исполь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зуемый капитал/цена).</w:t>
      </w:r>
    </w:p>
    <w:p w14:paraId="038EDFA9" w14:textId="77777777" w:rsidR="006F7DE5" w:rsidRDefault="003D5216">
      <w:pPr>
        <w:spacing w:before="240" w:after="240" w:line="36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6.2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 наличие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сигнала на продажу проверяем доступный объем по данным последней сделки:</w:t>
      </w:r>
    </w:p>
    <w:p w14:paraId="1B2705E7" w14:textId="77777777" w:rsidR="006F7DE5" w:rsidRDefault="003D5216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VOL 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располагаемый объем – совершаем сделку по цене равной средней между ценой закрытия и максимальной за период (CLOSE+HIGH)/2.</w:t>
      </w:r>
    </w:p>
    <w:p w14:paraId="431A288A" w14:textId="77777777" w:rsidR="006F7DE5" w:rsidRDefault="003D5216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VOL&lt;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асполагаемый объем – 90% от располагаемого объема продается по цене равной средней между ценой закрытия и максимальной за период (CLOSE+HIGH)/2 и 10% от располагаемого объема продается по цене CLOSE.</w:t>
      </w:r>
    </w:p>
    <w:p w14:paraId="5D9203C2" w14:textId="77777777" w:rsidR="006F7DE5" w:rsidRDefault="003D5216">
      <w:pPr>
        <w:spacing w:before="240" w:after="24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Статьи, на основе которых была составлена стратегия</w:t>
      </w:r>
    </w:p>
    <w:p w14:paraId="45A70A35" w14:textId="77777777" w:rsidR="006F7DE5" w:rsidRDefault="003D5216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Выводы статьи </w:t>
      </w:r>
      <w:hyperlink r:id="rId14"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Tharavanij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(2015)  характерны для развивающегося рынка, что соответствует целевому активу на российском рынке. Использование технического анализа (таких индика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торов как скользящие средние и осцилляторы) не гарантирует получение прибыли особенно после учета транзакционных издержек (комиссия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т.д.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). Наиболее прибыльные стратегии основаны на индикаторах MACD и STOCH-D. Параметры торговых стратегий должны быть опти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мизированы в зависимости от условий на рынке. Данную работу можно использовать для адаптации входных параметров индикаторов под текущую ситуацию на рынке (долгий тренд, боковик). Пример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самооптимизирующейся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стратегии в зависимости от волатильности на рынке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43F8033" w14:textId="77777777" w:rsidR="006F7DE5" w:rsidRDefault="003D5216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 работе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Phooi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(2018) используется инновационная скользящая средняя, которая динамически приспосабливается к меняющимся условиям текущего рынка. Также был разработан коэффициент для определения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длины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скользящей средней в разные моменты времени как 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тношение долгосрочного и краткосрочного стандартного отклонения.</w:t>
      </w:r>
    </w:p>
    <w:p w14:paraId="0326026B" w14:textId="77777777" w:rsidR="006F7DE5" w:rsidRDefault="003D5216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Основная идея стратегии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John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(2016) – комбинация технического и фундаментального анализа для ежедневного совершения сделок. Торговля осуществляется на основе входных данных, по которым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принимаются решения о продаже, покупки или удержании актива.</w:t>
      </w:r>
    </w:p>
    <w:p w14:paraId="643766D6" w14:textId="77777777" w:rsidR="006F7DE5" w:rsidRDefault="003D5216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Praekhaow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(2010) построил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стратегию, основанную на скользящем среднем с параметром 12 дней. Использовались 3 вида скользящего среднего: простое, экспоненциальное и взвешенное. Проверка доходности, каждого из видов скользящего среднего осуществлялось на тайском рынке. В результате б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ыло получено, что вне зависимости от техники использования скользящего среднего торговля всегда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была 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прибыли. Самое простое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скользящее  среднее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было более прибыльным по сравнению с взвешенным и экспоненциальным на 9%.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 Использовались следующие сигналы н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 покупку и продажу:</w:t>
      </w:r>
    </w:p>
    <w:p w14:paraId="3C7100C7" w14:textId="77777777" w:rsidR="006F7DE5" w:rsidRDefault="003D5216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Сигнал на покупку: после пересечения цены закрытия со скользящим средним, цена закрытия выше скользящего среднего.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Сигнал на продажу: после пересечения цены закрытия со скользящим средним, цена закрытия ниже скользящего среднего</w:t>
      </w:r>
    </w:p>
    <w:p w14:paraId="5637A563" w14:textId="77777777" w:rsidR="006F7DE5" w:rsidRDefault="006F7DE5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FD0B1AA" w14:textId="77777777" w:rsidR="006F7DE5" w:rsidRDefault="006F7DE5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43C9368" w14:textId="77777777" w:rsidR="006F7DE5" w:rsidRDefault="006F7DE5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2EFF604" w14:textId="16D1BFFE" w:rsidR="006F7DE5" w:rsidRDefault="006F7DE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7BF349D" w14:textId="4D522D7F" w:rsidR="008D7E95" w:rsidRDefault="008D7E9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4A83F65" w14:textId="2594F2DD" w:rsidR="008D7E95" w:rsidRDefault="008D7E9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35D4B6" w14:textId="522E2E72" w:rsidR="008D7E95" w:rsidRDefault="008D7E9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0B8AD92" w14:textId="57E791EE" w:rsidR="008D7E95" w:rsidRDefault="008D7E9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D633C5" w14:textId="598D0460" w:rsidR="008D7E95" w:rsidRDefault="008D7E9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1EDC1BA" w14:textId="77777777" w:rsidR="008D7E95" w:rsidRDefault="008D7E9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" w:name="_GoBack"/>
      <w:bookmarkEnd w:id="1"/>
    </w:p>
    <w:p w14:paraId="5ABDCD65" w14:textId="77777777" w:rsidR="006F7DE5" w:rsidRDefault="006F7DE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E7D82A5" w14:textId="77777777" w:rsidR="006F7DE5" w:rsidRDefault="003D521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Список используемой литературы</w:t>
      </w:r>
    </w:p>
    <w:p w14:paraId="7009BD72" w14:textId="77777777" w:rsidR="006F7DE5" w:rsidRPr="008D7E95" w:rsidRDefault="003D5216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hyperlink r:id="rId15">
        <w:proofErr w:type="spellStart"/>
        <w:r w:rsidRPr="008D7E95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Tharavanij</w:t>
        </w:r>
        <w:proofErr w:type="spellEnd"/>
      </w:hyperlink>
      <w:r w:rsidRPr="008D7E9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(2015). Performance of technical trading rules: evidence from Southeast Asian stock markets //  </w:t>
      </w:r>
      <w:proofErr w:type="spellStart"/>
      <w:r>
        <w:fldChar w:fldCharType="begin"/>
      </w:r>
      <w:r w:rsidRPr="008D7E95">
        <w:rPr>
          <w:lang w:val="en-US"/>
        </w:rPr>
        <w:instrText xml:space="preserve"> HYPERLINK "https://www.researchgate.</w:instrText>
      </w:r>
      <w:r w:rsidRPr="008D7E95">
        <w:rPr>
          <w:lang w:val="en-US"/>
        </w:rPr>
        <w:instrText xml:space="preserve">net/journal/2193-1801_SpringerPlus" \h </w:instrText>
      </w:r>
      <w:r>
        <w:fldChar w:fldCharType="separate"/>
      </w:r>
      <w:r w:rsidRPr="008D7E95"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  <w:lang w:val="en-US"/>
        </w:rPr>
        <w:t>SpringerPlu</w:t>
      </w:r>
      <w:proofErr w:type="spellEnd"/>
      <w:r w:rsidRPr="008D7E95"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  <w:lang w:val="en-US"/>
        </w:rPr>
        <w:t>s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  <w:fldChar w:fldCharType="end"/>
      </w:r>
      <w:r w:rsidRPr="008D7E95"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  <w:lang w:val="en-US"/>
        </w:rPr>
        <w:t xml:space="preserve"> </w:t>
      </w:r>
      <w:r w:rsidRPr="008D7E9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4(1) · December 2015, [URL:</w:t>
      </w:r>
      <w:hyperlink r:id="rId16">
        <w:r w:rsidRPr="008D7E95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n-US"/>
          </w:rPr>
          <w:t>https://www.researchgat</w:t>
        </w:r>
        <w:r w:rsidRPr="008D7E95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n-US"/>
          </w:rPr>
          <w:t>e.net/publication/282352703_Performance_of_technical_trading_rules_evidence_from_Southeast_Asian_stock_markets</w:t>
        </w:r>
      </w:hyperlink>
      <w:r w:rsidRPr="008D7E95"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  <w:lang w:val="en-US"/>
        </w:rPr>
        <w:t>]</w:t>
      </w:r>
    </w:p>
    <w:p w14:paraId="40B59F85" w14:textId="77777777" w:rsidR="006F7DE5" w:rsidRPr="008D7E95" w:rsidRDefault="003D5216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lang w:val="en-US"/>
        </w:rPr>
      </w:pPr>
      <w:proofErr w:type="spellStart"/>
      <w:r w:rsidRPr="008D7E9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Phooi</w:t>
      </w:r>
      <w:proofErr w:type="spellEnd"/>
      <w:r w:rsidRPr="008D7E9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8D7E9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M’ng</w:t>
      </w:r>
      <w:proofErr w:type="spellEnd"/>
      <w:r w:rsidRPr="008D7E9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(2018). Dynamically Adjustable Moving Average (AMA’) technical analysis indicator to forecast Asian Tigers’ futures markets // </w:t>
      </w:r>
      <w:hyperlink r:id="rId17">
        <w:proofErr w:type="spellStart"/>
        <w:r w:rsidRPr="008D7E95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Physica</w:t>
        </w:r>
        <w:proofErr w:type="spellEnd"/>
        <w:r w:rsidRPr="008D7E95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 xml:space="preserve"> A: Statistical Mechanics and its Applications</w:t>
        </w:r>
      </w:hyperlink>
      <w:r w:rsidRPr="008D7E9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, 509, pp.336-345  [URL:</w:t>
      </w:r>
      <w:hyperlink r:id="rId18">
        <w:r w:rsidRPr="008D7E95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n-US"/>
          </w:rPr>
          <w:t>https://proxylibra</w:t>
        </w:r>
        <w:r w:rsidRPr="008D7E95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n-US"/>
          </w:rPr>
          <w:t>ry.hse.ru:2055/science/article/pii/S0378437118307386</w:t>
        </w:r>
      </w:hyperlink>
      <w:r w:rsidRPr="008D7E95"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  <w:lang w:val="en-US"/>
        </w:rPr>
        <w:t>]</w:t>
      </w:r>
    </w:p>
    <w:p w14:paraId="12B59ABE" w14:textId="77777777" w:rsidR="006F7DE5" w:rsidRPr="008D7E95" w:rsidRDefault="003D5216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lang w:val="en-US"/>
        </w:rPr>
      </w:pPr>
      <w:r w:rsidRPr="008D7E9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John, </w:t>
      </w:r>
      <w:proofErr w:type="spellStart"/>
      <w:r w:rsidRPr="008D7E9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Lincy</w:t>
      </w:r>
      <w:proofErr w:type="spellEnd"/>
      <w:r w:rsidRPr="008D7E9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(2016). A multiple fuzzy inference systems framework for daily stock trading with application to NASDAQ stock exchange // </w:t>
      </w:r>
      <w:hyperlink r:id="rId19">
        <w:r w:rsidRPr="008D7E95">
          <w:rPr>
            <w:rFonts w:ascii="Times New Roman" w:eastAsia="Times New Roman" w:hAnsi="Times New Roman" w:cs="Times New Roman"/>
            <w:sz w:val="24"/>
            <w:szCs w:val="24"/>
            <w:highlight w:val="white"/>
            <w:lang w:val="en-US"/>
          </w:rPr>
          <w:t>Expert Systems with Applications</w:t>
        </w:r>
      </w:hyperlink>
      <w:r w:rsidRPr="008D7E95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44, pp.13-21 </w:t>
      </w:r>
      <w:r w:rsidRPr="008D7E95"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  <w:lang w:val="en-US"/>
        </w:rPr>
        <w:t xml:space="preserve">[URL: </w:t>
      </w:r>
      <w:hyperlink r:id="rId20">
        <w:r w:rsidRPr="008D7E95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n-US"/>
          </w:rPr>
          <w:t>https://proxylibrary.hse.ru:2055/science/article/pii/S0957417415006028</w:t>
        </w:r>
      </w:hyperlink>
      <w:r w:rsidRPr="008D7E95"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  <w:lang w:val="en-US"/>
        </w:rPr>
        <w:t>]</w:t>
      </w:r>
    </w:p>
    <w:p w14:paraId="5BFE344D" w14:textId="77777777" w:rsidR="006F7DE5" w:rsidRPr="008D7E95" w:rsidRDefault="003D5216">
      <w:pPr>
        <w:numPr>
          <w:ilvl w:val="0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lang w:val="en-US"/>
        </w:rPr>
      </w:pPr>
      <w:proofErr w:type="spellStart"/>
      <w:r w:rsidRPr="008D7E95">
        <w:rPr>
          <w:rFonts w:ascii="Times New Roman" w:eastAsia="Times New Roman" w:hAnsi="Times New Roman" w:cs="Times New Roman"/>
          <w:sz w:val="23"/>
          <w:szCs w:val="23"/>
          <w:highlight w:val="white"/>
          <w:lang w:val="en-US"/>
        </w:rPr>
        <w:t>Praekhaow</w:t>
      </w:r>
      <w:proofErr w:type="spellEnd"/>
      <w:r w:rsidRPr="008D7E95">
        <w:rPr>
          <w:rFonts w:ascii="Times New Roman" w:eastAsia="Times New Roman" w:hAnsi="Times New Roman" w:cs="Times New Roman"/>
          <w:sz w:val="23"/>
          <w:szCs w:val="23"/>
          <w:highlight w:val="white"/>
          <w:lang w:val="en-US"/>
        </w:rPr>
        <w:t xml:space="preserve"> (2010). International Conference for a Sustainable Greater Mekong Subregion, </w:t>
      </w:r>
      <w:r w:rsidRPr="008D7E95"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  <w:lang w:val="en-US"/>
        </w:rPr>
        <w:t>[URL:</w:t>
      </w:r>
      <w:hyperlink r:id="rId21">
        <w:r w:rsidRPr="008D7E95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n-US"/>
          </w:rPr>
          <w:t>https://www.researchgate.net/profile/Puchong_Praekhaow/publication/233988919_Determination_of_Trading_Points_using_the_Moving_Average_Methods/links/0912f50dd2650194e9000000.pdf</w:t>
        </w:r>
      </w:hyperlink>
      <w:r w:rsidRPr="008D7E95"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  <w:lang w:val="en-US"/>
        </w:rPr>
        <w:t>]</w:t>
      </w:r>
    </w:p>
    <w:sectPr w:rsidR="006F7DE5" w:rsidRPr="008D7E9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03DB2" w14:textId="77777777" w:rsidR="003D5216" w:rsidRDefault="003D5216">
      <w:pPr>
        <w:spacing w:line="240" w:lineRule="auto"/>
      </w:pPr>
      <w:r>
        <w:separator/>
      </w:r>
    </w:p>
  </w:endnote>
  <w:endnote w:type="continuationSeparator" w:id="0">
    <w:p w14:paraId="66200B45" w14:textId="77777777" w:rsidR="003D5216" w:rsidRDefault="003D5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2F69E" w14:textId="77777777" w:rsidR="006F7DE5" w:rsidRDefault="006F7D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A7170" w14:textId="77777777" w:rsidR="006F7DE5" w:rsidRDefault="003D52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8D7E95">
      <w:rPr>
        <w:rFonts w:ascii="Times New Roman" w:eastAsia="Times New Roman" w:hAnsi="Times New Roman" w:cs="Times New Roman"/>
        <w:color w:val="000000"/>
      </w:rPr>
      <w:fldChar w:fldCharType="separate"/>
    </w:r>
    <w:r w:rsidR="008D7E95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90EA7BB" w14:textId="77777777" w:rsidR="006F7DE5" w:rsidRDefault="006F7D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C4E7B" w14:textId="77777777" w:rsidR="006F7DE5" w:rsidRDefault="006F7D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E7AF6" w14:textId="77777777" w:rsidR="003D5216" w:rsidRDefault="003D5216">
      <w:pPr>
        <w:spacing w:line="240" w:lineRule="auto"/>
      </w:pPr>
      <w:r>
        <w:separator/>
      </w:r>
    </w:p>
  </w:footnote>
  <w:footnote w:type="continuationSeparator" w:id="0">
    <w:p w14:paraId="3C1D95F3" w14:textId="77777777" w:rsidR="003D5216" w:rsidRDefault="003D5216">
      <w:pPr>
        <w:spacing w:line="240" w:lineRule="auto"/>
      </w:pPr>
      <w:r>
        <w:continuationSeparator/>
      </w:r>
    </w:p>
  </w:footnote>
  <w:footnote w:id="1">
    <w:p w14:paraId="6E5E240D" w14:textId="77777777" w:rsidR="006F7DE5" w:rsidRDefault="003D5216">
      <w:pPr>
        <w:spacing w:before="240" w:after="240"/>
        <w:jc w:val="both"/>
      </w:pPr>
      <w:r>
        <w:rPr>
          <w:vertAlign w:val="superscript"/>
        </w:rPr>
        <w:footnoteRef/>
      </w:r>
      <w:r>
        <w:t xml:space="preserve"> </w:t>
      </w:r>
      <w:hyperlink r:id="rId1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highlight w:val="white"/>
            <w:u w:val="single"/>
          </w:rPr>
          <w:t>https://www.sberbank.ru/ru/person/investments/broker_service/tarifs</w:t>
        </w:r>
      </w:hyperlink>
    </w:p>
  </w:footnote>
  <w:footnote w:id="2">
    <w:p w14:paraId="2C99E6A2" w14:textId="77777777" w:rsidR="006F7DE5" w:rsidRDefault="003D52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2">
        <w:r>
          <w:rPr>
            <w:rFonts w:ascii="Times New Roman" w:eastAsia="Times New Roman" w:hAnsi="Times New Roman" w:cs="Times New Roman"/>
            <w:color w:val="000000"/>
            <w:sz w:val="20"/>
            <w:szCs w:val="20"/>
            <w:highlight w:val="white"/>
          </w:rPr>
          <w:t xml:space="preserve"> </w:t>
        </w:r>
      </w:hyperlink>
      <w:hyperlink r:id="rId3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highlight w:val="white"/>
            <w:u w:val="single"/>
          </w:rPr>
          <w:t>https://www.moex.com/s1197</w:t>
        </w:r>
      </w:hyperlink>
    </w:p>
  </w:footnote>
  <w:footnote w:id="3">
    <w:p w14:paraId="27319B83" w14:textId="77777777" w:rsidR="006F7DE5" w:rsidRDefault="003D521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Наиболее детальное описание робота с комментариями к коду представлено в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файле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Final.ipynb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4A9D0" w14:textId="77777777" w:rsidR="006F7DE5" w:rsidRDefault="006F7D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A7985" w14:textId="77777777" w:rsidR="006F7DE5" w:rsidRDefault="006F7D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1043D" w14:textId="77777777" w:rsidR="006F7DE5" w:rsidRDefault="006F7D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176EB"/>
    <w:multiLevelType w:val="multilevel"/>
    <w:tmpl w:val="D400C3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2E056A"/>
    <w:multiLevelType w:val="multilevel"/>
    <w:tmpl w:val="CEAC34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F50521"/>
    <w:multiLevelType w:val="multilevel"/>
    <w:tmpl w:val="F334B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ED4406"/>
    <w:multiLevelType w:val="multilevel"/>
    <w:tmpl w:val="DB18CA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6A1A36"/>
    <w:multiLevelType w:val="multilevel"/>
    <w:tmpl w:val="9AC60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E5"/>
    <w:rsid w:val="003D5216"/>
    <w:rsid w:val="006F7DE5"/>
    <w:rsid w:val="008D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B926"/>
  <w15:docId w15:val="{F921EEA0-D284-4CD6-8186-97AD1D47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proxylibrary.hse.ru:2055/science/article/pii/S0378437118307386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rofile/Puchong_Praekhaow/publication/233988919_Determination_of_Trading_Points_using_the_Moving_Average_Methods/links/0912f50dd2650194e9000000.pdf" TargetMode="Externa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proxylibrary.hse.ru:2055/science/journal/03784371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282352703_Performance_of_technical_trading_rules_evidence_from_Southeast_Asian_stock_markets" TargetMode="External"/><Relationship Id="rId20" Type="http://schemas.openxmlformats.org/officeDocument/2006/relationships/hyperlink" Target="https://proxylibrary.hse.ru:2055/science/article/pii/S095741741500602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rofile/Piyapas_Tharavanij2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anaconda.com/distribution/" TargetMode="External"/><Relationship Id="rId19" Type="http://schemas.openxmlformats.org/officeDocument/2006/relationships/hyperlink" Target="https://proxylibrary.hse.ru:2055/science/journal/095741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hyperlink" Target="https://www.researchgate.net/profile/Piyapas_Tharavanij2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ex.com/s1197" TargetMode="External"/><Relationship Id="rId2" Type="http://schemas.openxmlformats.org/officeDocument/2006/relationships/hyperlink" Target="https://www.moex.com/s1197" TargetMode="External"/><Relationship Id="rId1" Type="http://schemas.openxmlformats.org/officeDocument/2006/relationships/hyperlink" Target="https://www.sberbank.ru/ru/person/investments/broker_service/tari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1841</Words>
  <Characters>10495</Characters>
  <Application>Microsoft Office Word</Application>
  <DocSecurity>0</DocSecurity>
  <Lines>87</Lines>
  <Paragraphs>24</Paragraphs>
  <ScaleCrop>false</ScaleCrop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Афонина Юлия Владимировна</cp:lastModifiedBy>
  <cp:revision>2</cp:revision>
  <dcterms:created xsi:type="dcterms:W3CDTF">2020-04-03T17:14:00Z</dcterms:created>
  <dcterms:modified xsi:type="dcterms:W3CDTF">2020-04-03T17:14:00Z</dcterms:modified>
</cp:coreProperties>
</file>