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200" w:line="252" w:lineRule="auto"/>
        <w:jc w:val="center"/>
      </w:pPr>
      <w:r>
        <w:rPr>
          <w:rFonts w:ascii="Times New Roman" w:hAnsi="Times New Roman"/>
          <w:b/>
          <w:color w:val="000000"/>
          <w:sz w:val="40"/>
        </w:rPr>
        <w:t>Deep Convolutional Neural Networks for Non-Invasive Pediatric Autism Spectrum Disorder Detection from Facial Photographs: A Comparative Architecture Benchmark</w:t>
      </w:r>
    </w:p>
    <w:p>
      <w:pPr>
        <w:spacing w:before="0" w:after="40"/>
        <w:jc w:val="center"/>
      </w:pPr>
      <w:r>
        <w:rPr>
          <w:rFonts w:ascii="Times New Roman" w:hAnsi="Times New Roman"/>
          <w:b/>
          <w:sz w:val="22"/>
        </w:rPr>
        <w:t>Himanshu Yadav, Academic Research Investigators, and Academic Project Supervisor</w:t>
      </w:r>
    </w:p>
    <w:p>
      <w:pPr>
        <w:spacing w:before="0" w:after="240"/>
        <w:jc w:val="center"/>
      </w:pPr>
      <w:r>
        <w:rPr>
          <w:rFonts w:ascii="Times New Roman" w:hAnsi="Times New Roman"/>
          <w:i/>
          <w:color w:val="475569"/>
          <w:sz w:val="18"/>
        </w:rPr>
        <w:t>Department of Computer Science and Engineering, Academic Research Division</w:t>
        <w:br/>
        <w:t>E-mail: corresponding.author@academic.edu</w:t>
      </w:r>
    </w:p>
    <w:p>
      <w:pPr>
        <w:sectPr>
          <w:headerReference w:type="default" r:id="rId9"/>
          <w:footerReference w:type="default" r:id="rId10"/>
          <w:pgSz w:w="12240" w:h="15840"/>
          <w:pgMar w:top="1080" w:right="900" w:bottom="1440" w:left="900" w:header="720" w:footer="720" w:gutter="0"/>
          <w:cols w:space="360" w:num="1"/>
          <w:docGrid w:linePitch="360"/>
        </w:sectPr>
      </w:pPr>
    </w:p>
    <w:p>
      <w:pPr>
        <w:spacing w:line="240" w:lineRule="auto" w:before="0" w:after="80"/>
        <w:jc w:val="both"/>
      </w:pPr>
      <w:r>
        <w:rPr>
          <w:rFonts w:ascii="Times New Roman" w:hAnsi="Times New Roman"/>
          <w:b/>
          <w:i/>
          <w:sz w:val="18"/>
        </w:rPr>
        <w:t>Abstract—</w:t>
      </w:r>
      <w:r>
        <w:rPr>
          <w:rFonts w:ascii="Times New Roman" w:hAnsi="Times New Roman"/>
          <w:sz w:val="18"/>
        </w:rPr>
        <w:t>Autism Spectrum Disorder (ASD) is a pervasive neurodevelopmental condition characterized by persistent deficits in social reciprocity, communicative interaction, and restricted, repetitive patterns of behavior. Early clinical diagnosis within the critical neurodevelopmental window (&lt; 36 months) significantly improves lifetime cognitive and adaptive outcomes. However, conventional gold-standard diagnostic protocols (ADOS-2, ADI-R) require extensive behavioral observation by specialized clinicians, precipitating severe waiting lists commonly exceeding 12–18 months. While resting-state functional magnetic resonance imaging (rs-fMRI) has identified objective neural biomarkers, its pediatric utility is severely constrained by acoustic gradient noise (&gt; 100 dB), enclosed bore confinement triggering intense sensory panic in autistic children, motion artifacts requiring pharmacological sedation, and prohibitive scanner capital costs ($1–3 million).</w:t>
        <w:br/>
        <w:br/>
        <w:t>To overcome these diagnostic bottlenecks, this paper presents an end-to-end, non-invasive pediatric screening framework operating strictly on standard 2D facial color photographs across five streamlined methodology steps: (1) Data Collection of pediatric facial photographs, (2) Automated MTCNN Face Detection and Standardized Preprocessing (224 × 224), (3) Stratified Dataset Splitting (70% Training, 15% Validation, 15% Test), (4) Model Training and Comparative Multi-Architecture CNN Benchmarking across six candidate deep backbones (ResNet-50, ResNet-34, VGG-19, VGG-16, MobileNet-V2, and AlexNet), and (5) Clinical Diagnostic Evaluation. Rooted in the shared embryological origin of craniofacial morphology and the central nervous system from cranial neural crest cells and neuroectoderm during gestational weeks 3–8, deep convolutional networks capture dysmorphological facial biomarkers without physical contact or distress. Evaluated across 5,772 multi-center photographic portraits (2,886 ASD, 2,886 Typically Developing Controls), our comparative benchmark establishes ResNet-50 as the optimal deep architecture, achieving 82.4% Test Accuracy, 88.6% AUROC, 81.6% F1-Score, 80.8% Sensitivity, and 84.0% Specificity. Running full inference in under 45 milliseconds, the proposed framework provides an accessible, non-invasive digital screening tool to expedite early clinical triage.</w:t>
      </w:r>
    </w:p>
    <w:p>
      <w:pPr>
        <w:spacing w:line="240" w:lineRule="auto" w:before="0" w:after="120"/>
        <w:jc w:val="both"/>
      </w:pPr>
      <w:r>
        <w:rPr>
          <w:rFonts w:ascii="Times New Roman" w:hAnsi="Times New Roman"/>
          <w:b/>
          <w:i/>
          <w:sz w:val="18"/>
        </w:rPr>
        <w:t>Index Terms—</w:t>
      </w:r>
      <w:r>
        <w:rPr>
          <w:rFonts w:ascii="Times New Roman" w:hAnsi="Times New Roman"/>
          <w:sz w:val="18"/>
        </w:rPr>
        <w:t>Autism Spectrum Disorder (ASD), Convolutional Neural Networks (CNN), Deep Residual Learning, Facial Biomarkers, Pediatric Diagnostic Screening, Computer Vision.</w:t>
      </w:r>
    </w:p>
    <w:p>
      <w:pPr>
        <w:keepNext/>
        <w:spacing w:before="160" w:after="60"/>
        <w:jc w:val="center"/>
      </w:pPr>
      <w:r>
        <w:rPr>
          <w:rFonts w:ascii="Times New Roman" w:hAnsi="Times New Roman"/>
          <w:b/>
          <w:color w:val="000000"/>
          <w:sz w:val="20"/>
        </w:rPr>
        <w:t>I.  INTRODUCTION</w:t>
      </w:r>
    </w:p>
    <w:p>
      <w:pPr>
        <w:spacing w:line="240" w:lineRule="auto" w:before="0" w:after="0"/>
        <w:ind w:firstLine="0"/>
        <w:jc w:val="both"/>
      </w:pPr>
      <w:r>
        <w:rPr>
          <w:rFonts w:ascii="Times New Roman" w:hAnsi="Times New Roman"/>
          <w:b/>
          <w:color w:val="000000"/>
          <w:sz w:val="26"/>
        </w:rPr>
        <w:t>A</w:t>
      </w:r>
      <w:r>
        <w:rPr>
          <w:rFonts w:ascii="Times New Roman" w:hAnsi="Times New Roman"/>
          <w:b/>
          <w:color w:val="000000"/>
          <w:sz w:val="19"/>
        </w:rPr>
        <w:t>UTISM</w:t>
      </w:r>
      <w:r>
        <w:rPr>
          <w:rFonts w:ascii="Times New Roman" w:hAnsi="Times New Roman"/>
          <w:color w:val="000000"/>
          <w:sz w:val="19"/>
        </w:rPr>
        <w:t xml:space="preserve"> Spectrum Disorder (ASD) is a heterogeneous neurodevelopmental syndrome distinguished by reciprocal social communication impairments, atypical language acquisition, and repetitive or restricted repertoires of interest [16]. Recent epidemiological surveillance by the United States Centers for Disease Control and Prevention (CDC) Autism and Developmental Disabilities Monitoring (ADDM) Network estimates that ASD affects approximately 1 in 36 children (2.8%) [17]. Similar escalating prevalence rates have been reported globally, underscoring an urgent societal demand for rapid, objective, and scalable screening modalities.</w:t>
      </w:r>
    </w:p>
    <w:p>
      <w:pPr>
        <w:spacing w:line="240" w:lineRule="auto" w:before="0" w:after="0"/>
        <w:ind w:firstLine="202"/>
        <w:jc w:val="both"/>
      </w:pPr>
      <w:r>
        <w:rPr>
          <w:rFonts w:ascii="Times New Roman" w:hAnsi="Times New Roman"/>
          <w:color w:val="000000"/>
          <w:sz w:val="19"/>
        </w:rPr>
        <w:t>Clinical literature overwhelmingly demonstrates that early therapeutic intervention initiated within the neuroplastic developmental window (&lt; 36 months) profoundly enhances long-term cognitive agility, linguistic fluency, and adaptive autonomy [16]. Nonetheless, formal clinical diagnosis relies almost exclusively on observational psychiatric instruments, including the Autism Diagnostic Observation Schedule, Second Edition (ADOS-2) and the Autism Diagnostic Interview-Revised (ADI-R). Administering these evaluations requires certified child psychiatrists and lengthy observation sessions, leading to worldwide waiting queues spanning 12 to 18 months. During this diagnostic delay, children miss the most responsive period for early developmental therapy.</w:t>
      </w:r>
    </w:p>
    <w:p>
      <w:pPr>
        <w:spacing w:line="240" w:lineRule="auto" w:before="0" w:after="0"/>
        <w:ind w:firstLine="202"/>
        <w:jc w:val="both"/>
      </w:pPr>
      <w:r>
        <w:rPr>
          <w:rFonts w:ascii="Times New Roman" w:hAnsi="Times New Roman"/>
          <w:color w:val="000000"/>
          <w:sz w:val="19"/>
        </w:rPr>
        <w:t>To eliminate clinical bottlenecks, neuroimaging researchers have investigated resting-state functional magnetic resonance imaging (rs-fMRI) to identify connectome-level biomarkers [18], [19]. Despite technical milestones, fMRI remains clinically infeasible for routine pediatric triage due to three insurmountable barriers:</w:t>
      </w:r>
    </w:p>
    <w:p>
      <w:pPr>
        <w:spacing w:line="240" w:lineRule="auto" w:before="0" w:after="0"/>
        <w:ind w:firstLine="202"/>
        <w:jc w:val="both"/>
      </w:pPr>
      <w:r>
        <w:rPr>
          <w:rFonts w:ascii="Times New Roman" w:hAnsi="Times New Roman"/>
          <w:color w:val="000000"/>
          <w:sz w:val="19"/>
        </w:rPr>
        <w:t>1) Acoustic Trauma and Sensory Panic: MRI gradient switching produces intense acoustic noise (&gt; 100–115 dB), triggering extreme sensory overload, distress, and behavioral panic in young autistic toddlers.</w:t>
      </w:r>
    </w:p>
    <w:p>
      <w:pPr>
        <w:spacing w:line="240" w:lineRule="auto" w:before="0" w:after="0"/>
        <w:ind w:firstLine="202"/>
        <w:jc w:val="both"/>
      </w:pPr>
      <w:r>
        <w:rPr>
          <w:rFonts w:ascii="Times New Roman" w:hAnsi="Times New Roman"/>
          <w:color w:val="000000"/>
          <w:sz w:val="19"/>
        </w:rPr>
        <w:t>2) Motion Susceptibility and Sedation Hazards: High-resolution scan acquisition requires subjects to remain motionless for 15–30 minutes. Even sub-millimeter head movement introduces fatal connectivity artifacts, often necessitating pharmacological sedation that presents substantial clinical risk in pediatric populations.</w:t>
      </w:r>
    </w:p>
    <w:p>
      <w:pPr>
        <w:spacing w:line="240" w:lineRule="auto" w:before="0" w:after="0"/>
        <w:ind w:firstLine="202"/>
        <w:jc w:val="both"/>
      </w:pPr>
      <w:r>
        <w:rPr>
          <w:rFonts w:ascii="Times New Roman" w:hAnsi="Times New Roman"/>
          <w:color w:val="000000"/>
          <w:sz w:val="19"/>
        </w:rPr>
        <w:t>3) Prohibitive Infrastructure Costs: Equipment acquisition, cryogen maintenance, and shielded scanner suites require $1–3 million in capital investment, restricting fMRI strictly to tertiary academic hospitals.</w:t>
      </w:r>
    </w:p>
    <w:p>
      <w:pPr>
        <w:spacing w:line="240" w:lineRule="auto" w:before="0" w:after="0"/>
        <w:ind w:firstLine="202"/>
        <w:jc w:val="both"/>
      </w:pPr>
      <w:r>
        <w:rPr>
          <w:rFonts w:ascii="Times New Roman" w:hAnsi="Times New Roman"/>
          <w:color w:val="000000"/>
          <w:sz w:val="19"/>
        </w:rPr>
        <w:t>To establish an accessible alternative, developmental embryology offers a compelling foundation: during human organogenesis (gestational weeks 3–8), the central nervous system and craniofacial structures develop simultaneously from common neuroectodermal origins and reciprocal paracrine signaling pathways (e.g., Sonic Hedgehog and Fibroblast Growth Factor signaling between the forebrain neuroectoderm and migrating cranial neural crest cells) [20]. Consequently, prenatal perturbations that disrupt early neural connectivity frequently produce subtle, characteristic craniofacial variations, including altered intercanthal spacing, mid-face vertical proportions, and palpebral fissure morphology [21], [22].</w:t>
      </w:r>
    </w:p>
    <w:p>
      <w:pPr>
        <w:spacing w:line="240" w:lineRule="auto" w:before="0" w:after="0"/>
        <w:ind w:firstLine="202"/>
        <w:jc w:val="both"/>
      </w:pPr>
      <w:r>
        <w:rPr>
          <w:rFonts w:ascii="Times New Roman" w:hAnsi="Times New Roman"/>
          <w:color w:val="000000"/>
          <w:sz w:val="19"/>
        </w:rPr>
        <w:t>Building upon these morphometric insights, computer vision researchers have explored 2D facial photographs for ASD detection. Recent landmark investigations, including Akter et al. [4] and Khan et al. [11], have confirmed that deep convolutional networks can extract discriminative facial biomarkers from pediatric portraits. However, clinical adoption requires systematic empirical benchmarking across diverse network depths, rigorous validation on balanced multi-center cohorts, and transparent quantification of computational latency.</w:t>
      </w:r>
    </w:p>
    <w:p>
      <w:pPr>
        <w:spacing w:line="240" w:lineRule="auto" w:before="0" w:after="0"/>
        <w:ind w:firstLine="202"/>
        <w:jc w:val="both"/>
      </w:pPr>
      <w:r>
        <w:rPr>
          <w:rFonts w:ascii="Times New Roman" w:hAnsi="Times New Roman"/>
          <w:color w:val="000000"/>
          <w:sz w:val="19"/>
        </w:rPr>
        <w:t>To address these requirements, this paper presents a comprehensive, streamlined 5-step deep learning framework for pediatric ASD screening from ordinary 2D facial photographs. Our key contributions are:</w:t>
      </w:r>
    </w:p>
    <w:p>
      <w:pPr>
        <w:spacing w:line="240" w:lineRule="auto" w:before="0" w:after="0"/>
        <w:ind w:firstLine="202"/>
        <w:jc w:val="both"/>
      </w:pPr>
      <w:r>
        <w:rPr>
          <w:rFonts w:ascii="Times New Roman" w:hAnsi="Times New Roman"/>
          <w:b/>
          <w:color w:val="000000"/>
          <w:sz w:val="19"/>
        </w:rPr>
        <w:t xml:space="preserve">• Streamlined 5-Step Pipeline: </w:t>
      </w:r>
      <w:r>
        <w:rPr>
          <w:rFonts w:ascii="Times New Roman" w:hAnsi="Times New Roman"/>
          <w:color w:val="000000"/>
          <w:sz w:val="19"/>
        </w:rPr>
        <w:t>We formalize an intuitive, clinical-grade methodology: (1) Data Collection, (2) Face Preprocessing, (3) Stratified Dataset Splitting, (4) Model Training and Comparative CNN Benchmarking, and (5) Clinical Diagnostic Evaluation.</w:t>
      </w:r>
    </w:p>
    <w:p>
      <w:pPr>
        <w:spacing w:line="240" w:lineRule="auto" w:before="0" w:after="0"/>
        <w:ind w:firstLine="202"/>
        <w:jc w:val="both"/>
      </w:pPr>
      <w:r>
        <w:rPr>
          <w:rFonts w:ascii="Times New Roman" w:hAnsi="Times New Roman"/>
          <w:b/>
          <w:color w:val="000000"/>
          <w:sz w:val="19"/>
        </w:rPr>
        <w:t xml:space="preserve">• Multi-Architecture Benchmark: </w:t>
      </w:r>
      <w:r>
        <w:rPr>
          <w:rFonts w:ascii="Times New Roman" w:hAnsi="Times New Roman"/>
          <w:color w:val="000000"/>
          <w:sz w:val="19"/>
        </w:rPr>
        <w:t>We systematically implement and evaluate six prominent deep CNN architectures under identical optimization protocols: ResNet-50, ResNet-34, VGG-19, VGG-16, MobileNet-V2, and AlexNet.</w:t>
      </w:r>
    </w:p>
    <w:p>
      <w:pPr>
        <w:spacing w:line="240" w:lineRule="auto" w:before="0" w:after="0"/>
        <w:ind w:firstLine="202"/>
        <w:jc w:val="both"/>
      </w:pPr>
      <w:r>
        <w:rPr>
          <w:rFonts w:ascii="Times New Roman" w:hAnsi="Times New Roman"/>
          <w:b/>
          <w:color w:val="000000"/>
          <w:sz w:val="19"/>
        </w:rPr>
        <w:t xml:space="preserve">• Optimal Backbone Identification: </w:t>
      </w:r>
      <w:r>
        <w:rPr>
          <w:rFonts w:ascii="Times New Roman" w:hAnsi="Times New Roman"/>
          <w:color w:val="000000"/>
          <w:sz w:val="19"/>
        </w:rPr>
        <w:t>We mathematically analyze and empirically demonstrate why ResNet-50 serves as the optimal backbone, leveraging bottleneck residual identity connections to achieve 82.4% Test Accuracy and 88.6% AUROC across 5,772 multi-center subjects.</w:t>
      </w:r>
    </w:p>
    <w:p>
      <w:pPr>
        <w:spacing w:line="240" w:lineRule="auto" w:before="0" w:after="0"/>
        <w:ind w:firstLine="202"/>
        <w:jc w:val="both"/>
      </w:pPr>
      <w:r>
        <w:rPr>
          <w:rFonts w:ascii="Times New Roman" w:hAnsi="Times New Roman"/>
          <w:b/>
          <w:color w:val="000000"/>
          <w:sz w:val="19"/>
        </w:rPr>
        <w:t xml:space="preserve">• Ultra-Fast Inference: </w:t>
      </w:r>
      <w:r>
        <w:rPr>
          <w:rFonts w:ascii="Times New Roman" w:hAnsi="Times New Roman"/>
          <w:color w:val="000000"/>
          <w:sz w:val="19"/>
        </w:rPr>
        <w:t>Achieving full end-to-end inference in under 45 milliseconds without specialized hardware, the proposed framework enables low-cost digital screening in community clinics, preschools, and telemedicine platforms.</w:t>
      </w:r>
    </w:p>
    <w:p>
      <w:pPr>
        <w:sectPr>
          <w:type w:val="continuous"/>
          <w:pgSz w:w="12240" w:h="15840"/>
          <w:pgMar w:top="1080" w:right="900" w:bottom="1440" w:left="900" w:header="720" w:footer="720" w:gutter="0"/>
          <w:cols w:space="360" w:num="2"/>
          <w:docGrid w:linePitch="360"/>
        </w:sectPr>
      </w:pPr>
    </w:p>
    <w:p>
      <w:pPr>
        <w:spacing w:before="120" w:after="60"/>
        <w:jc w:val="center"/>
      </w:pPr>
      <w:r>
        <w:drawing>
          <wp:inline xmlns:a="http://schemas.openxmlformats.org/drawingml/2006/main" xmlns:pic="http://schemas.openxmlformats.org/drawingml/2006/picture">
            <wp:extent cx="6400800" cy="4726172"/>
            <wp:docPr id="1" name="Picture 1"/>
            <wp:cNvGraphicFramePr>
              <a:graphicFrameLocks noChangeAspect="1"/>
            </wp:cNvGraphicFramePr>
            <a:graphic>
              <a:graphicData uri="http://schemas.openxmlformats.org/drawingml/2006/picture">
                <pic:pic>
                  <pic:nvPicPr>
                    <pic:cNvPr id="0" name="CNN_ASD_Methodology_Reverse_C.png"/>
                    <pic:cNvPicPr/>
                  </pic:nvPicPr>
                  <pic:blipFill>
                    <a:blip r:embed="rId11"/>
                    <a:stretch>
                      <a:fillRect/>
                    </a:stretch>
                  </pic:blipFill>
                  <pic:spPr>
                    <a:xfrm>
                      <a:off x="0" y="0"/>
                      <a:ext cx="6400800" cy="4726172"/>
                    </a:xfrm>
                    <a:prstGeom prst="rect"/>
                  </pic:spPr>
                </pic:pic>
              </a:graphicData>
            </a:graphic>
          </wp:inline>
        </w:drawing>
      </w:r>
    </w:p>
    <w:p>
      <w:pPr>
        <w:spacing w:before="40" w:after="160" w:line="240" w:lineRule="auto"/>
        <w:jc w:val="both"/>
      </w:pPr>
      <w:r>
        <w:rPr>
          <w:rFonts w:ascii="Times New Roman" w:hAnsi="Times New Roman"/>
          <w:b/>
          <w:sz w:val="17"/>
        </w:rPr>
        <w:t xml:space="preserve">Fig. 1.  </w:t>
      </w:r>
      <w:r>
        <w:rPr>
          <w:rFonts w:ascii="Times New Roman" w:hAnsi="Times New Roman"/>
          <w:sz w:val="17"/>
        </w:rPr>
        <w:t>End-to-end 5-step methodology pipeline for pediatric Autism Spectrum Disorder detection from 2D facial photographs: (1) Data Collection of raw pediatric portraits (N=5,772 across ASD and Controls), (2) Automated MTCNN face detection and standardized 224 × 224 landmark-based alignment, (3) Stratified dataset splitting (70% Training, 15% Validation, 15% Test), (4) Model training and multi-architecture CNN benchmarking across 6 candidate deep backbones (ResNet-50, ResNet-34, VGG-19, VGG-16, MobileNet-V2, and AlexNet), and (5) Objective clinical evaluation and triage classification into ASD or Typically Developing Control.</w:t>
      </w:r>
    </w:p>
    <w:p>
      <w:pPr>
        <w:sectPr>
          <w:type w:val="continuous"/>
          <w:pgSz w:w="12240" w:h="15840"/>
          <w:pgMar w:top="1080" w:right="900" w:bottom="1440" w:left="900" w:header="720" w:footer="720" w:gutter="0"/>
          <w:cols w:space="360" w:num="1"/>
          <w:docGrid w:linePitch="360"/>
        </w:sectPr>
      </w:pPr>
    </w:p>
    <w:p>
      <w:pPr>
        <w:keepNext/>
        <w:spacing w:before="160" w:after="60"/>
        <w:jc w:val="center"/>
      </w:pPr>
      <w:r>
        <w:rPr>
          <w:rFonts w:ascii="Times New Roman" w:hAnsi="Times New Roman"/>
          <w:b/>
          <w:color w:val="000000"/>
          <w:sz w:val="20"/>
        </w:rPr>
        <w:t>II.  RELATED WORK</w:t>
      </w:r>
    </w:p>
    <w:p>
      <w:pPr>
        <w:spacing w:line="240" w:lineRule="auto" w:before="0" w:after="0"/>
        <w:ind w:firstLine="202"/>
        <w:jc w:val="both"/>
      </w:pPr>
      <w:r>
        <w:rPr>
          <w:rFonts w:ascii="Times New Roman" w:hAnsi="Times New Roman"/>
          <w:color w:val="000000"/>
          <w:sz w:val="19"/>
        </w:rPr>
        <w:t>Automated Autism Spectrum Disorder (ASD) detection has increasingly leveraged computer vision, deep learning, and biometric pattern recognition. A comprehensive survey of recent literature reveals diverse methodological paradigms, spanning transfer learning, facial landmark geometry, multi-model feature fusion, and cross-attention architectures.</w:t>
      </w:r>
    </w:p>
    <w:p>
      <w:pPr>
        <w:keepNext/>
        <w:spacing w:before="120" w:after="40"/>
        <w:jc w:val="left"/>
      </w:pPr>
      <w:r>
        <w:rPr>
          <w:rFonts w:ascii="Times New Roman" w:hAnsi="Times New Roman"/>
          <w:b/>
          <w:i/>
          <w:color w:val="000000"/>
          <w:sz w:val="19"/>
        </w:rPr>
        <w:t>A. Literature Survey of Deep Learning and Photographic ASD Screening</w:t>
      </w:r>
    </w:p>
    <w:p>
      <w:pPr>
        <w:spacing w:line="240" w:lineRule="auto" w:before="0" w:after="0"/>
        <w:ind w:firstLine="202"/>
        <w:jc w:val="both"/>
      </w:pPr>
      <w:r>
        <w:rPr>
          <w:rFonts w:ascii="Times New Roman" w:hAnsi="Times New Roman"/>
          <w:color w:val="000000"/>
          <w:sz w:val="19"/>
        </w:rPr>
        <w:t>The study proposes a MobileNet-based deep-learning model for classifying children as autistic or non-autistic from facial images. It uses 3,014 facial images and reports 94.64% test accuracy. The model uses MobileNet followed by two dense layers. [1]</w:t>
      </w:r>
    </w:p>
    <w:p>
      <w:pPr>
        <w:spacing w:line="240" w:lineRule="auto" w:before="0" w:after="0"/>
        <w:ind w:firstLine="202"/>
        <w:jc w:val="both"/>
      </w:pPr>
      <w:r>
        <w:rPr>
          <w:rFonts w:ascii="Times New Roman" w:hAnsi="Times New Roman"/>
          <w:color w:val="000000"/>
          <w:sz w:val="19"/>
        </w:rPr>
        <w:t>The study proposes a modified VGG19 model using Dlib facial landmarks and MediaPipe Face Mesh to analyze eye and forehead regions. Using images from 60 children, it achieved 94.35% accuracy, 95.24% recall, 93.75% precision, and 0.9831 AUC. [14]</w:t>
      </w:r>
    </w:p>
    <w:p>
      <w:pPr>
        <w:spacing w:line="240" w:lineRule="auto" w:before="0" w:after="0"/>
        <w:ind w:firstLine="202"/>
        <w:jc w:val="both"/>
      </w:pPr>
      <w:r>
        <w:rPr>
          <w:rFonts w:ascii="Times New Roman" w:hAnsi="Times New Roman"/>
          <w:color w:val="000000"/>
          <w:sz w:val="19"/>
        </w:rPr>
        <w:t>The study compares Xception, ResNet50, MobileNetV2, VGG16, and DenseNet121 on 2,940 facial images. DenseNet121 performed best, achieving 96% accuracy, 99% precision, and 93% recall for the autistic class. [11]</w:t>
      </w:r>
    </w:p>
    <w:p>
      <w:pPr>
        <w:spacing w:line="240" w:lineRule="auto" w:before="0" w:after="0"/>
        <w:ind w:firstLine="202"/>
        <w:jc w:val="both"/>
      </w:pPr>
      <w:r>
        <w:rPr>
          <w:rFonts w:ascii="Times New Roman" w:hAnsi="Times New Roman"/>
          <w:color w:val="000000"/>
          <w:sz w:val="19"/>
        </w:rPr>
        <w:t>The study uses VGG16 and VGG19 CNN models to classify facial images into autistic and non-autistic classes. VGG16 achieved 86.33% accuracy, with 84.67% precision and 87.59% sensitivity. [5]</w:t>
      </w:r>
    </w:p>
    <w:p>
      <w:pPr>
        <w:spacing w:line="240" w:lineRule="auto" w:before="0" w:after="0"/>
        <w:ind w:firstLine="202"/>
        <w:jc w:val="both"/>
      </w:pPr>
      <w:r>
        <w:rPr>
          <w:rFonts w:ascii="Times New Roman" w:hAnsi="Times New Roman"/>
          <w:color w:val="000000"/>
          <w:sz w:val="19"/>
        </w:rPr>
        <w:t>The study compares MobileNet, MobileNetV2, and VGG16 with multiple machine-learning classifiers using facial images and landmarks. MobileNetV2 achieved 92% test accuracy. [7]</w:t>
      </w:r>
    </w:p>
    <w:p>
      <w:pPr>
        <w:spacing w:line="240" w:lineRule="auto" w:before="0" w:after="0"/>
        <w:ind w:firstLine="202"/>
        <w:jc w:val="both"/>
      </w:pPr>
      <w:r>
        <w:rPr>
          <w:rFonts w:ascii="Times New Roman" w:hAnsi="Times New Roman"/>
          <w:color w:val="000000"/>
          <w:sz w:val="19"/>
        </w:rPr>
        <w:t>The study proposes a Modified HOG-based Multichannel CNN that combines HOG feature extraction with three CNN channels. Using 2,936 facial images and 3-fold cross-validation, it achieved 98% validation accuracy and 96.2% test accuracy. [15]</w:t>
      </w:r>
    </w:p>
    <w:p>
      <w:pPr>
        <w:spacing w:line="240" w:lineRule="auto" w:before="0" w:after="0"/>
        <w:ind w:firstLine="202"/>
        <w:jc w:val="both"/>
      </w:pPr>
      <w:r>
        <w:rPr>
          <w:rFonts w:ascii="Times New Roman" w:hAnsi="Times New Roman"/>
          <w:color w:val="000000"/>
          <w:sz w:val="19"/>
        </w:rPr>
        <w:t>The study combines VGG16, ResNet101, and MobileNet features with t-SNE and machine-learning classifiers. The best VGG16-MobileNet with Random Forest model achieved 98.8% accuracy and 99.25% AUC. [12]</w:t>
      </w:r>
    </w:p>
    <w:p>
      <w:pPr>
        <w:spacing w:line="240" w:lineRule="auto" w:before="0" w:after="0"/>
        <w:ind w:firstLine="202"/>
        <w:jc w:val="both"/>
      </w:pPr>
      <w:r>
        <w:rPr>
          <w:rFonts w:ascii="Times New Roman" w:hAnsi="Times New Roman"/>
          <w:color w:val="000000"/>
          <w:sz w:val="19"/>
        </w:rPr>
        <w:t>The study compares VGG16, VGG19, ResNet50, InceptionV3, and MobileNet using 5,000 facial images. VGG19 achieved the highest accuracy of 77.89%, while InceptionV3 achieved the highest reported recall of 99.67%. [13]</w:t>
      </w:r>
    </w:p>
    <w:p>
      <w:pPr>
        <w:spacing w:line="240" w:lineRule="auto" w:before="0" w:after="0"/>
        <w:ind w:firstLine="202"/>
        <w:jc w:val="both"/>
      </w:pPr>
      <w:r>
        <w:rPr>
          <w:rFonts w:ascii="Times New Roman" w:hAnsi="Times New Roman"/>
          <w:color w:val="000000"/>
          <w:sz w:val="19"/>
        </w:rPr>
        <w:t>The study compares Naive Bayes, SVM, Logistic Regression, KNN, ANN, and CNN using UCI screening datasets for children, adolescents, and adults. CNN achieved 99.53% accuracy for adults, 98.30% for children, and 96.88% for adolescents. [9]</w:t>
      </w:r>
    </w:p>
    <w:p>
      <w:pPr>
        <w:spacing w:line="240" w:lineRule="auto" w:before="0" w:after="0"/>
        <w:ind w:firstLine="202"/>
        <w:jc w:val="both"/>
      </w:pPr>
      <w:r>
        <w:rPr>
          <w:rFonts w:ascii="Times New Roman" w:hAnsi="Times New Roman"/>
          <w:color w:val="000000"/>
          <w:sz w:val="19"/>
        </w:rPr>
        <w:t>The study evaluates MobileNet, Xception, and InceptionV3 on 3,014 facial images and deploys the trained model through a Flask web application. MobileNet achieved 95% validation accuracy, with 97% sensitivity and 93% specificity. [8]* (*Note: Retracted evidence).</w:t>
      </w:r>
    </w:p>
    <w:p>
      <w:pPr>
        <w:spacing w:line="240" w:lineRule="auto" w:before="0" w:after="0"/>
        <w:ind w:firstLine="202"/>
        <w:jc w:val="both"/>
      </w:pPr>
      <w:r>
        <w:rPr>
          <w:rFonts w:ascii="Times New Roman" w:hAnsi="Times New Roman"/>
          <w:color w:val="000000"/>
          <w:sz w:val="19"/>
        </w:rPr>
        <w:t>The study uses VGG16 transfer learning on a clinically diagnosed East Asian dataset containing 1,122 images. It achieved 95% classification accuracy and a 0.95 F1-score, while also examining the effect of ethnoracial representation on model performance. [6]</w:t>
      </w:r>
    </w:p>
    <w:p>
      <w:pPr>
        <w:spacing w:line="240" w:lineRule="auto" w:before="0" w:after="0"/>
        <w:ind w:firstLine="202"/>
        <w:jc w:val="both"/>
      </w:pPr>
      <w:r>
        <w:rPr>
          <w:rFonts w:ascii="Times New Roman" w:hAnsi="Times New Roman"/>
          <w:color w:val="000000"/>
          <w:sz w:val="19"/>
        </w:rPr>
        <w:t>The study proposes an improved MobileNet-V1 framework using 2,936 Kaggle facial images. The model achieved 90.67% test accuracy, while K-means clustering was also used to explore possible ASD subtypes. [4]</w:t>
      </w:r>
    </w:p>
    <w:p>
      <w:pPr>
        <w:spacing w:line="240" w:lineRule="auto" w:before="0" w:after="0"/>
        <w:ind w:firstLine="202"/>
        <w:jc w:val="both"/>
      </w:pPr>
      <w:r>
        <w:rPr>
          <w:rFonts w:ascii="Times New Roman" w:hAnsi="Times New Roman"/>
          <w:color w:val="000000"/>
          <w:sz w:val="19"/>
        </w:rPr>
        <w:t>The study proposes a 1D CNN using behavioral, demographic, and screening-related features from public ASD datasets. It reports 98.66% accuracy for children, 90% for adolescents, and 99.45% for adults. [10]</w:t>
      </w:r>
    </w:p>
    <w:p>
      <w:pPr>
        <w:spacing w:line="240" w:lineRule="auto" w:before="0" w:after="0"/>
        <w:ind w:firstLine="202"/>
        <w:jc w:val="both"/>
      </w:pPr>
      <w:r>
        <w:rPr>
          <w:rFonts w:ascii="Times New Roman" w:hAnsi="Times New Roman"/>
          <w:color w:val="000000"/>
          <w:sz w:val="19"/>
        </w:rPr>
        <w:t>The study combines ResNet-152 with CBAM and ViT-Large using cross-attention to capture local and global facial information. A weighted ensemble with test-time augmentation achieved 92.00% accuracy and 96.74% AUC. [3]</w:t>
      </w:r>
    </w:p>
    <w:p>
      <w:pPr>
        <w:spacing w:line="240" w:lineRule="auto" w:before="0" w:after="0"/>
        <w:ind w:firstLine="202"/>
        <w:jc w:val="both"/>
      </w:pPr>
      <w:r>
        <w:rPr>
          <w:rFonts w:ascii="Times New Roman" w:hAnsi="Times New Roman"/>
          <w:color w:val="000000"/>
          <w:sz w:val="19"/>
        </w:rPr>
        <w:t>The study evaluates MobileNet, Xception, EfficientNetB0, EfficientNetB1, and EfficientNetB2 for ASD detection from 2,936 static facial images. Xception achieved the highest reported AUC of 96.63%, with 88.46% sensitivity and 91.66% specificity. [2]</w:t>
      </w:r>
    </w:p>
    <w:p>
      <w:pPr>
        <w:keepNext/>
        <w:spacing w:before="120" w:after="40"/>
        <w:jc w:val="left"/>
      </w:pPr>
      <w:r>
        <w:rPr>
          <w:rFonts w:ascii="Times New Roman" w:hAnsi="Times New Roman"/>
          <w:b/>
          <w:i/>
          <w:color w:val="000000"/>
          <w:sz w:val="19"/>
        </w:rPr>
        <w:t>B. Overall Literature Observation and Research Gaps</w:t>
      </w:r>
    </w:p>
    <w:p>
      <w:pPr>
        <w:spacing w:line="240" w:lineRule="auto" w:before="0" w:after="0"/>
        <w:ind w:firstLine="202"/>
        <w:jc w:val="both"/>
      </w:pPr>
      <w:r>
        <w:rPr>
          <w:rFonts w:ascii="Times New Roman" w:hAnsi="Times New Roman"/>
          <w:color w:val="000000"/>
          <w:sz w:val="19"/>
        </w:rPr>
        <w:t>The reviewed studies demonstrate the widespread use of machine learning, CNNs, transfer learning, facial landmarks, hybrid architectures, and feature fusion for ASD detection. Common challenges include limited dataset size and diversity, reliance on public facial-image datasets, static-image limitations, demographic bias, and the need for independent clinical validation. Table I synthesizes the comparative landscape of prominent works.</w:t>
      </w:r>
    </w:p>
    <w:p>
      <w:pPr>
        <w:sectPr>
          <w:type w:val="continuous"/>
          <w:pgSz w:w="12240" w:h="15840"/>
          <w:pgMar w:top="1080" w:right="900" w:bottom="1440" w:left="900" w:header="720" w:footer="720" w:gutter="0"/>
          <w:cols w:space="360" w:num="2"/>
          <w:docGrid w:linePitch="360"/>
        </w:sectPr>
      </w:pPr>
    </w:p>
    <w:p>
      <w:pPr>
        <w:spacing w:before="80" w:after="40"/>
        <w:jc w:val="center"/>
      </w:pPr>
      <w:r>
        <w:rPr>
          <w:rFonts w:ascii="Times New Roman" w:hAnsi="Times New Roman"/>
          <w:b/>
          <w:sz w:val="17"/>
        </w:rPr>
        <w:t>TABLE I</w:t>
        <w:br/>
      </w:r>
      <w:r>
        <w:rPr>
          <w:rFonts w:ascii="Times New Roman" w:hAnsi="Times New Roman"/>
          <w:b/>
          <w:sz w:val="16"/>
        </w:rPr>
        <w:t>COMPREHENSIVE COMPARISON OF RELATED WORKS ON AUTISM SPECTRUM DISORDER SCREENING</w:t>
      </w:r>
    </w:p>
    <w:tbl>
      <w:tblPr>
        <w:tblW w:type="auto" w:w="0"/>
        <w:jc w:val="center"/>
        <w:tblLayout w:type="fixed"/>
        <w:tblLook w:firstColumn="1" w:firstRow="1" w:lastColumn="0" w:lastRow="0" w:noHBand="0" w:noVBand="1" w:val="04A0"/>
        <w:tblBorders>
          <w:top w:val="single" w:sz="12" w:space="0" w:color="000000"/>
          <w:bottom w:val="single" w:sz="12" w:space="0" w:color="000000"/>
          <w:insideH w:val="single" w:sz="4" w:space="0" w:color="64748B"/>
          <w:insideV w:val="none"/>
          <w:left w:val="none"/>
          <w:right w:val="none"/>
        </w:tblBorders>
      </w:tblPr>
      <w:tblGrid>
        <w:gridCol w:w="1740"/>
        <w:gridCol w:w="1740"/>
        <w:gridCol w:w="1740"/>
        <w:gridCol w:w="1740"/>
        <w:gridCol w:w="1740"/>
        <w:gridCol w:w="1740"/>
      </w:tblGrid>
      <w:tr>
        <w:tc>
          <w:tcPr>
            <w:tcW w:type="dxa" w:w="1872"/>
            <w:vAlign w:val="center"/>
            <w:tcMar>
              <w:top w:w="35" w:type="dxa"/>
              <w:bottom w:w="35" w:type="dxa"/>
              <w:left w:w="45" w:type="dxa"/>
              <w:right w:w="45" w:type="dxa"/>
            </w:tcMar>
            <w:shd w:fill="F1F5F9"/>
          </w:tcPr>
          <w:p>
            <w:pPr>
              <w:spacing w:before="0" w:after="0" w:line="240" w:lineRule="auto"/>
              <w:jc w:val="left"/>
            </w:pPr>
            <w:r>
              <w:rPr>
                <w:rFonts w:ascii="Times New Roman" w:hAnsi="Times New Roman"/>
                <w:b/>
                <w:sz w:val="15"/>
              </w:rPr>
              <w:t>Authors &amp; Year</w:t>
            </w:r>
          </w:p>
        </w:tc>
        <w:tc>
          <w:tcPr>
            <w:tcW w:type="dxa" w:w="1008"/>
            <w:vAlign w:val="center"/>
            <w:tcMar>
              <w:top w:w="35" w:type="dxa"/>
              <w:bottom w:w="35" w:type="dxa"/>
              <w:left w:w="45" w:type="dxa"/>
              <w:right w:w="45" w:type="dxa"/>
            </w:tcMar>
            <w:shd w:fill="F1F5F9"/>
          </w:tcPr>
          <w:p>
            <w:pPr>
              <w:spacing w:before="0" w:after="0" w:line="240" w:lineRule="auto"/>
              <w:jc w:val="left"/>
            </w:pPr>
            <w:r>
              <w:rPr>
                <w:rFonts w:ascii="Times New Roman" w:hAnsi="Times New Roman"/>
                <w:b/>
                <w:sz w:val="15"/>
              </w:rPr>
              <w:t>Modality</w:t>
            </w:r>
          </w:p>
        </w:tc>
        <w:tc>
          <w:tcPr>
            <w:tcW w:type="dxa" w:w="1584"/>
            <w:vAlign w:val="center"/>
            <w:tcMar>
              <w:top w:w="35" w:type="dxa"/>
              <w:bottom w:w="35" w:type="dxa"/>
              <w:left w:w="45" w:type="dxa"/>
              <w:right w:w="45" w:type="dxa"/>
            </w:tcMar>
            <w:shd w:fill="F1F5F9"/>
          </w:tcPr>
          <w:p>
            <w:pPr>
              <w:spacing w:before="0" w:after="0" w:line="240" w:lineRule="auto"/>
              <w:jc w:val="left"/>
            </w:pPr>
            <w:r>
              <w:rPr>
                <w:rFonts w:ascii="Times New Roman" w:hAnsi="Times New Roman"/>
                <w:b/>
                <w:sz w:val="15"/>
              </w:rPr>
              <w:t>Dataset (Size)</w:t>
            </w:r>
          </w:p>
        </w:tc>
        <w:tc>
          <w:tcPr>
            <w:tcW w:type="dxa" w:w="2016"/>
            <w:vAlign w:val="center"/>
            <w:tcMar>
              <w:top w:w="35" w:type="dxa"/>
              <w:bottom w:w="35" w:type="dxa"/>
              <w:left w:w="45" w:type="dxa"/>
              <w:right w:w="45" w:type="dxa"/>
            </w:tcMar>
            <w:shd w:fill="F1F5F9"/>
          </w:tcPr>
          <w:p>
            <w:pPr>
              <w:spacing w:before="0" w:after="0" w:line="240" w:lineRule="auto"/>
              <w:jc w:val="left"/>
            </w:pPr>
            <w:r>
              <w:rPr>
                <w:rFonts w:ascii="Times New Roman" w:hAnsi="Times New Roman"/>
                <w:b/>
                <w:sz w:val="15"/>
              </w:rPr>
              <w:t>Methodology Architecture</w:t>
            </w:r>
          </w:p>
        </w:tc>
        <w:tc>
          <w:tcPr>
            <w:tcW w:type="dxa" w:w="1584"/>
            <w:vAlign w:val="center"/>
            <w:tcMar>
              <w:top w:w="35" w:type="dxa"/>
              <w:bottom w:w="35" w:type="dxa"/>
              <w:left w:w="45" w:type="dxa"/>
              <w:right w:w="45" w:type="dxa"/>
            </w:tcMar>
            <w:shd w:fill="F1F5F9"/>
          </w:tcPr>
          <w:p>
            <w:pPr>
              <w:spacing w:before="0" w:after="0" w:line="240" w:lineRule="auto"/>
              <w:jc w:val="left"/>
            </w:pPr>
            <w:r>
              <w:rPr>
                <w:rFonts w:ascii="Times New Roman" w:hAnsi="Times New Roman"/>
                <w:b/>
                <w:sz w:val="15"/>
              </w:rPr>
              <w:t>Key Metrics</w:t>
            </w:r>
          </w:p>
        </w:tc>
        <w:tc>
          <w:tcPr>
            <w:tcW w:type="dxa" w:w="2376"/>
            <w:vAlign w:val="center"/>
            <w:tcMar>
              <w:top w:w="35" w:type="dxa"/>
              <w:bottom w:w="35" w:type="dxa"/>
              <w:left w:w="45" w:type="dxa"/>
              <w:right w:w="45" w:type="dxa"/>
            </w:tcMar>
            <w:shd w:fill="F1F5F9"/>
          </w:tcPr>
          <w:p>
            <w:pPr>
              <w:spacing w:before="0" w:after="0" w:line="240" w:lineRule="auto"/>
              <w:jc w:val="left"/>
            </w:pPr>
            <w:r>
              <w:rPr>
                <w:rFonts w:ascii="Times New Roman" w:hAnsi="Times New Roman"/>
                <w:b/>
                <w:sz w:val="15"/>
              </w:rPr>
              <w:t>Research Gaps &amp; Clinical Constraints</w:t>
            </w:r>
          </w:p>
        </w:tc>
      </w:tr>
      <w:tr>
        <w:tc>
          <w:tcPr>
            <w:tcW w:type="dxa" w:w="1872"/>
            <w:vAlign w:val="center"/>
            <w:tcMar>
              <w:top w:w="35" w:type="dxa"/>
              <w:bottom w:w="35" w:type="dxa"/>
              <w:left w:w="45" w:type="dxa"/>
              <w:right w:w="45" w:type="dxa"/>
            </w:tcMar>
            <w:shd w:fill="FFFFFF"/>
          </w:tcPr>
          <w:p>
            <w:pPr>
              <w:spacing w:before="0" w:after="0" w:line="240" w:lineRule="auto"/>
              <w:jc w:val="left"/>
            </w:pPr>
            <w:r>
              <w:rPr>
                <w:rFonts w:ascii="Times New Roman" w:hAnsi="Times New Roman"/>
                <w:sz w:val="15"/>
              </w:rPr>
              <w:t>Beary et al. (2020) [1]</w:t>
            </w:r>
          </w:p>
        </w:tc>
        <w:tc>
          <w:tcPr>
            <w:tcW w:type="dxa" w:w="1008"/>
            <w:vAlign w:val="center"/>
            <w:tcMar>
              <w:top w:w="35" w:type="dxa"/>
              <w:bottom w:w="35" w:type="dxa"/>
              <w:left w:w="45" w:type="dxa"/>
              <w:right w:w="45" w:type="dxa"/>
            </w:tcMar>
            <w:shd w:fill="FFFFFF"/>
          </w:tcPr>
          <w:p>
            <w:pPr>
              <w:spacing w:before="0" w:after="0" w:line="240" w:lineRule="auto"/>
              <w:jc w:val="left"/>
            </w:pPr>
            <w:r>
              <w:rPr>
                <w:rFonts w:ascii="Times New Roman" w:hAnsi="Times New Roman"/>
                <w:sz w:val="15"/>
              </w:rPr>
              <w:t>2D Photos</w:t>
            </w:r>
          </w:p>
        </w:tc>
        <w:tc>
          <w:tcPr>
            <w:tcW w:type="dxa" w:w="1584"/>
            <w:vAlign w:val="center"/>
            <w:tcMar>
              <w:top w:w="35" w:type="dxa"/>
              <w:bottom w:w="35" w:type="dxa"/>
              <w:left w:w="45" w:type="dxa"/>
              <w:right w:w="45" w:type="dxa"/>
            </w:tcMar>
            <w:shd w:fill="FFFFFF"/>
          </w:tcPr>
          <w:p>
            <w:pPr>
              <w:spacing w:before="0" w:after="0" w:line="240" w:lineRule="auto"/>
              <w:jc w:val="left"/>
            </w:pPr>
            <w:r>
              <w:rPr>
                <w:rFonts w:ascii="Times New Roman" w:hAnsi="Times New Roman"/>
                <w:sz w:val="15"/>
              </w:rPr>
              <w:t>Kaggle ASD (N=3,014)</w:t>
            </w:r>
          </w:p>
        </w:tc>
        <w:tc>
          <w:tcPr>
            <w:tcW w:type="dxa" w:w="2016"/>
            <w:vAlign w:val="center"/>
            <w:tcMar>
              <w:top w:w="35" w:type="dxa"/>
              <w:bottom w:w="35" w:type="dxa"/>
              <w:left w:w="45" w:type="dxa"/>
              <w:right w:w="45" w:type="dxa"/>
            </w:tcMar>
            <w:shd w:fill="FFFFFF"/>
          </w:tcPr>
          <w:p>
            <w:pPr>
              <w:spacing w:before="0" w:after="0" w:line="240" w:lineRule="auto"/>
              <w:jc w:val="left"/>
            </w:pPr>
            <w:r>
              <w:rPr>
                <w:rFonts w:ascii="Times New Roman" w:hAnsi="Times New Roman"/>
                <w:sz w:val="15"/>
              </w:rPr>
              <w:t>MobileNet + Dense Layers</w:t>
            </w:r>
          </w:p>
        </w:tc>
        <w:tc>
          <w:tcPr>
            <w:tcW w:type="dxa" w:w="1584"/>
            <w:vAlign w:val="center"/>
            <w:tcMar>
              <w:top w:w="35" w:type="dxa"/>
              <w:bottom w:w="35" w:type="dxa"/>
              <w:left w:w="45" w:type="dxa"/>
              <w:right w:w="45" w:type="dxa"/>
            </w:tcMar>
            <w:shd w:fill="FFFFFF"/>
          </w:tcPr>
          <w:p>
            <w:pPr>
              <w:spacing w:before="0" w:after="0" w:line="240" w:lineRule="auto"/>
              <w:jc w:val="left"/>
            </w:pPr>
            <w:r>
              <w:rPr>
                <w:rFonts w:ascii="Times New Roman" w:hAnsi="Times New Roman"/>
                <w:sz w:val="15"/>
              </w:rPr>
              <w:t>Acc: 94.64%</w:t>
            </w:r>
          </w:p>
        </w:tc>
        <w:tc>
          <w:tcPr>
            <w:tcW w:type="dxa" w:w="2376"/>
            <w:vAlign w:val="center"/>
            <w:tcMar>
              <w:top w:w="35" w:type="dxa"/>
              <w:bottom w:w="35" w:type="dxa"/>
              <w:left w:w="45" w:type="dxa"/>
              <w:right w:w="45" w:type="dxa"/>
            </w:tcMar>
            <w:shd w:fill="FFFFFF"/>
          </w:tcPr>
          <w:p>
            <w:pPr>
              <w:spacing w:before="0" w:after="0" w:line="240" w:lineRule="auto"/>
              <w:jc w:val="left"/>
            </w:pPr>
            <w:r>
              <w:rPr>
                <w:rFonts w:ascii="Times New Roman" w:hAnsi="Times New Roman"/>
                <w:sz w:val="15"/>
              </w:rPr>
              <w:t>Shallow classification head; lacks sensitivity/specificity profiling.</w:t>
            </w:r>
          </w:p>
        </w:tc>
      </w:tr>
      <w:tr>
        <w:tc>
          <w:tcPr>
            <w:tcW w:type="dxa" w:w="1872"/>
            <w:vAlign w:val="center"/>
            <w:tcMar>
              <w:top w:w="35" w:type="dxa"/>
              <w:bottom w:w="35" w:type="dxa"/>
              <w:left w:w="45" w:type="dxa"/>
              <w:right w:w="45" w:type="dxa"/>
            </w:tcMar>
            <w:shd w:fill="FFFFFF"/>
          </w:tcPr>
          <w:p>
            <w:pPr>
              <w:spacing w:before="0" w:after="0" w:line="240" w:lineRule="auto"/>
              <w:jc w:val="left"/>
            </w:pPr>
            <w:r>
              <w:rPr>
                <w:rFonts w:ascii="Times New Roman" w:hAnsi="Times New Roman"/>
                <w:sz w:val="15"/>
              </w:rPr>
              <w:t>Lu &amp; Perkowski (2021) [6]</w:t>
            </w:r>
          </w:p>
        </w:tc>
        <w:tc>
          <w:tcPr>
            <w:tcW w:type="dxa" w:w="1008"/>
            <w:vAlign w:val="center"/>
            <w:tcMar>
              <w:top w:w="35" w:type="dxa"/>
              <w:bottom w:w="35" w:type="dxa"/>
              <w:left w:w="45" w:type="dxa"/>
              <w:right w:w="45" w:type="dxa"/>
            </w:tcMar>
            <w:shd w:fill="FFFFFF"/>
          </w:tcPr>
          <w:p>
            <w:pPr>
              <w:spacing w:before="0" w:after="0" w:line="240" w:lineRule="auto"/>
              <w:jc w:val="left"/>
            </w:pPr>
            <w:r>
              <w:rPr>
                <w:rFonts w:ascii="Times New Roman" w:hAnsi="Times New Roman"/>
                <w:sz w:val="15"/>
              </w:rPr>
              <w:t>2D Photos</w:t>
            </w:r>
          </w:p>
        </w:tc>
        <w:tc>
          <w:tcPr>
            <w:tcW w:type="dxa" w:w="1584"/>
            <w:vAlign w:val="center"/>
            <w:tcMar>
              <w:top w:w="35" w:type="dxa"/>
              <w:bottom w:w="35" w:type="dxa"/>
              <w:left w:w="45" w:type="dxa"/>
              <w:right w:w="45" w:type="dxa"/>
            </w:tcMar>
            <w:shd w:fill="FFFFFF"/>
          </w:tcPr>
          <w:p>
            <w:pPr>
              <w:spacing w:before="0" w:after="0" w:line="240" w:lineRule="auto"/>
              <w:jc w:val="left"/>
            </w:pPr>
            <w:r>
              <w:rPr>
                <w:rFonts w:ascii="Times New Roman" w:hAnsi="Times New Roman"/>
                <w:sz w:val="15"/>
              </w:rPr>
              <w:t>East Asian (N=1,122)</w:t>
            </w:r>
          </w:p>
        </w:tc>
        <w:tc>
          <w:tcPr>
            <w:tcW w:type="dxa" w:w="2016"/>
            <w:vAlign w:val="center"/>
            <w:tcMar>
              <w:top w:w="35" w:type="dxa"/>
              <w:bottom w:w="35" w:type="dxa"/>
              <w:left w:w="45" w:type="dxa"/>
              <w:right w:w="45" w:type="dxa"/>
            </w:tcMar>
            <w:shd w:fill="FFFFFF"/>
          </w:tcPr>
          <w:p>
            <w:pPr>
              <w:spacing w:before="0" w:after="0" w:line="240" w:lineRule="auto"/>
              <w:jc w:val="left"/>
            </w:pPr>
            <w:r>
              <w:rPr>
                <w:rFonts w:ascii="Times New Roman" w:hAnsi="Times New Roman"/>
                <w:sz w:val="15"/>
              </w:rPr>
              <w:t>VGG-16 Transfer Learning</w:t>
            </w:r>
          </w:p>
        </w:tc>
        <w:tc>
          <w:tcPr>
            <w:tcW w:type="dxa" w:w="1584"/>
            <w:vAlign w:val="center"/>
            <w:tcMar>
              <w:top w:w="35" w:type="dxa"/>
              <w:bottom w:w="35" w:type="dxa"/>
              <w:left w:w="45" w:type="dxa"/>
              <w:right w:w="45" w:type="dxa"/>
            </w:tcMar>
            <w:shd w:fill="FFFFFF"/>
          </w:tcPr>
          <w:p>
            <w:pPr>
              <w:spacing w:before="0" w:after="0" w:line="240" w:lineRule="auto"/>
              <w:jc w:val="left"/>
            </w:pPr>
            <w:r>
              <w:rPr>
                <w:rFonts w:ascii="Times New Roman" w:hAnsi="Times New Roman"/>
                <w:sz w:val="15"/>
              </w:rPr>
              <w:t>Acc: 95.0%, F1: 0.95</w:t>
            </w:r>
          </w:p>
        </w:tc>
        <w:tc>
          <w:tcPr>
            <w:tcW w:type="dxa" w:w="2376"/>
            <w:vAlign w:val="center"/>
            <w:tcMar>
              <w:top w:w="35" w:type="dxa"/>
              <w:bottom w:w="35" w:type="dxa"/>
              <w:left w:w="45" w:type="dxa"/>
              <w:right w:w="45" w:type="dxa"/>
            </w:tcMar>
            <w:shd w:fill="FFFFFF"/>
          </w:tcPr>
          <w:p>
            <w:pPr>
              <w:spacing w:before="0" w:after="0" w:line="240" w:lineRule="auto"/>
              <w:jc w:val="left"/>
            </w:pPr>
            <w:r>
              <w:rPr>
                <w:rFonts w:ascii="Times New Roman" w:hAnsi="Times New Roman"/>
                <w:sz w:val="15"/>
              </w:rPr>
              <w:t>Ethnoracial disparity examined; limited to single geographic cohort.</w:t>
            </w:r>
          </w:p>
        </w:tc>
      </w:tr>
      <w:tr>
        <w:tc>
          <w:tcPr>
            <w:tcW w:type="dxa" w:w="1872"/>
            <w:vAlign w:val="center"/>
            <w:tcMar>
              <w:top w:w="35" w:type="dxa"/>
              <w:bottom w:w="35" w:type="dxa"/>
              <w:left w:w="45" w:type="dxa"/>
              <w:right w:w="45" w:type="dxa"/>
            </w:tcMar>
            <w:shd w:fill="FFFFFF"/>
          </w:tcPr>
          <w:p>
            <w:pPr>
              <w:spacing w:before="0" w:after="0" w:line="240" w:lineRule="auto"/>
              <w:jc w:val="left"/>
            </w:pPr>
            <w:r>
              <w:rPr>
                <w:rFonts w:ascii="Times New Roman" w:hAnsi="Times New Roman"/>
                <w:sz w:val="15"/>
              </w:rPr>
              <w:t>Akter et al. (2021) [4]</w:t>
            </w:r>
          </w:p>
        </w:tc>
        <w:tc>
          <w:tcPr>
            <w:tcW w:type="dxa" w:w="1008"/>
            <w:vAlign w:val="center"/>
            <w:tcMar>
              <w:top w:w="35" w:type="dxa"/>
              <w:bottom w:w="35" w:type="dxa"/>
              <w:left w:w="45" w:type="dxa"/>
              <w:right w:w="45" w:type="dxa"/>
            </w:tcMar>
            <w:shd w:fill="FFFFFF"/>
          </w:tcPr>
          <w:p>
            <w:pPr>
              <w:spacing w:before="0" w:after="0" w:line="240" w:lineRule="auto"/>
              <w:jc w:val="left"/>
            </w:pPr>
            <w:r>
              <w:rPr>
                <w:rFonts w:ascii="Times New Roman" w:hAnsi="Times New Roman"/>
                <w:sz w:val="15"/>
              </w:rPr>
              <w:t>2D Photos</w:t>
            </w:r>
          </w:p>
        </w:tc>
        <w:tc>
          <w:tcPr>
            <w:tcW w:type="dxa" w:w="1584"/>
            <w:vAlign w:val="center"/>
            <w:tcMar>
              <w:top w:w="35" w:type="dxa"/>
              <w:bottom w:w="35" w:type="dxa"/>
              <w:left w:w="45" w:type="dxa"/>
              <w:right w:w="45" w:type="dxa"/>
            </w:tcMar>
            <w:shd w:fill="FFFFFF"/>
          </w:tcPr>
          <w:p>
            <w:pPr>
              <w:spacing w:before="0" w:after="0" w:line="240" w:lineRule="auto"/>
              <w:jc w:val="left"/>
            </w:pPr>
            <w:r>
              <w:rPr>
                <w:rFonts w:ascii="Times New Roman" w:hAnsi="Times New Roman"/>
                <w:sz w:val="15"/>
              </w:rPr>
              <w:t>Kaggle ASD (N=2,936)</w:t>
            </w:r>
          </w:p>
        </w:tc>
        <w:tc>
          <w:tcPr>
            <w:tcW w:type="dxa" w:w="2016"/>
            <w:vAlign w:val="center"/>
            <w:tcMar>
              <w:top w:w="35" w:type="dxa"/>
              <w:bottom w:w="35" w:type="dxa"/>
              <w:left w:w="45" w:type="dxa"/>
              <w:right w:w="45" w:type="dxa"/>
            </w:tcMar>
            <w:shd w:fill="FFFFFF"/>
          </w:tcPr>
          <w:p>
            <w:pPr>
              <w:spacing w:before="0" w:after="0" w:line="240" w:lineRule="auto"/>
              <w:jc w:val="left"/>
            </w:pPr>
            <w:r>
              <w:rPr>
                <w:rFonts w:ascii="Times New Roman" w:hAnsi="Times New Roman"/>
                <w:sz w:val="15"/>
              </w:rPr>
              <w:t>MobileNet-V1 + K-Means Clustering</w:t>
            </w:r>
          </w:p>
        </w:tc>
        <w:tc>
          <w:tcPr>
            <w:tcW w:type="dxa" w:w="1584"/>
            <w:vAlign w:val="center"/>
            <w:tcMar>
              <w:top w:w="35" w:type="dxa"/>
              <w:bottom w:w="35" w:type="dxa"/>
              <w:left w:w="45" w:type="dxa"/>
              <w:right w:w="45" w:type="dxa"/>
            </w:tcMar>
            <w:shd w:fill="FFFFFF"/>
          </w:tcPr>
          <w:p>
            <w:pPr>
              <w:spacing w:before="0" w:after="0" w:line="240" w:lineRule="auto"/>
              <w:jc w:val="left"/>
            </w:pPr>
            <w:r>
              <w:rPr>
                <w:rFonts w:ascii="Times New Roman" w:hAnsi="Times New Roman"/>
                <w:sz w:val="15"/>
              </w:rPr>
              <w:t>Acc: 90.67%</w:t>
            </w:r>
          </w:p>
        </w:tc>
        <w:tc>
          <w:tcPr>
            <w:tcW w:type="dxa" w:w="2376"/>
            <w:vAlign w:val="center"/>
            <w:tcMar>
              <w:top w:w="35" w:type="dxa"/>
              <w:bottom w:w="35" w:type="dxa"/>
              <w:left w:w="45" w:type="dxa"/>
              <w:right w:w="45" w:type="dxa"/>
            </w:tcMar>
            <w:shd w:fill="FFFFFF"/>
          </w:tcPr>
          <w:p>
            <w:pPr>
              <w:spacing w:before="0" w:after="0" w:line="240" w:lineRule="auto"/>
              <w:jc w:val="left"/>
            </w:pPr>
            <w:r>
              <w:rPr>
                <w:rFonts w:ascii="Times New Roman" w:hAnsi="Times New Roman"/>
                <w:sz w:val="15"/>
              </w:rPr>
              <w:t>Subtype clustering exploratory; unstandardized face alignment.</w:t>
            </w:r>
          </w:p>
        </w:tc>
      </w:tr>
      <w:tr>
        <w:tc>
          <w:tcPr>
            <w:tcW w:type="dxa" w:w="1872"/>
            <w:vAlign w:val="center"/>
            <w:tcMar>
              <w:top w:w="35" w:type="dxa"/>
              <w:bottom w:w="35" w:type="dxa"/>
              <w:left w:w="45" w:type="dxa"/>
              <w:right w:w="45" w:type="dxa"/>
            </w:tcMar>
            <w:shd w:fill="FFFFFF"/>
          </w:tcPr>
          <w:p>
            <w:pPr>
              <w:spacing w:before="0" w:after="0" w:line="240" w:lineRule="auto"/>
              <w:jc w:val="left"/>
            </w:pPr>
            <w:r>
              <w:rPr>
                <w:rFonts w:ascii="Times New Roman" w:hAnsi="Times New Roman"/>
                <w:sz w:val="15"/>
              </w:rPr>
              <w:t>Mujeeb Rahman et al. (2022) [2]</w:t>
            </w:r>
          </w:p>
        </w:tc>
        <w:tc>
          <w:tcPr>
            <w:tcW w:type="dxa" w:w="1008"/>
            <w:vAlign w:val="center"/>
            <w:tcMar>
              <w:top w:w="35" w:type="dxa"/>
              <w:bottom w:w="35" w:type="dxa"/>
              <w:left w:w="45" w:type="dxa"/>
              <w:right w:w="45" w:type="dxa"/>
            </w:tcMar>
            <w:shd w:fill="FFFFFF"/>
          </w:tcPr>
          <w:p>
            <w:pPr>
              <w:spacing w:before="0" w:after="0" w:line="240" w:lineRule="auto"/>
              <w:jc w:val="left"/>
            </w:pPr>
            <w:r>
              <w:rPr>
                <w:rFonts w:ascii="Times New Roman" w:hAnsi="Times New Roman"/>
                <w:sz w:val="15"/>
              </w:rPr>
              <w:t>2D Photos</w:t>
            </w:r>
          </w:p>
        </w:tc>
        <w:tc>
          <w:tcPr>
            <w:tcW w:type="dxa" w:w="1584"/>
            <w:vAlign w:val="center"/>
            <w:tcMar>
              <w:top w:w="35" w:type="dxa"/>
              <w:bottom w:w="35" w:type="dxa"/>
              <w:left w:w="45" w:type="dxa"/>
              <w:right w:w="45" w:type="dxa"/>
            </w:tcMar>
            <w:shd w:fill="FFFFFF"/>
          </w:tcPr>
          <w:p>
            <w:pPr>
              <w:spacing w:before="0" w:after="0" w:line="240" w:lineRule="auto"/>
              <w:jc w:val="left"/>
            </w:pPr>
            <w:r>
              <w:rPr>
                <w:rFonts w:ascii="Times New Roman" w:hAnsi="Times New Roman"/>
                <w:sz w:val="15"/>
              </w:rPr>
              <w:t>Static Facial (N=2,936)</w:t>
            </w:r>
          </w:p>
        </w:tc>
        <w:tc>
          <w:tcPr>
            <w:tcW w:type="dxa" w:w="2016"/>
            <w:vAlign w:val="center"/>
            <w:tcMar>
              <w:top w:w="35" w:type="dxa"/>
              <w:bottom w:w="35" w:type="dxa"/>
              <w:left w:w="45" w:type="dxa"/>
              <w:right w:w="45" w:type="dxa"/>
            </w:tcMar>
            <w:shd w:fill="FFFFFF"/>
          </w:tcPr>
          <w:p>
            <w:pPr>
              <w:spacing w:before="0" w:after="0" w:line="240" w:lineRule="auto"/>
              <w:jc w:val="left"/>
            </w:pPr>
            <w:r>
              <w:rPr>
                <w:rFonts w:ascii="Times New Roman" w:hAnsi="Times New Roman"/>
                <w:sz w:val="15"/>
              </w:rPr>
              <w:t>Xception / EfficientNet-B0–B2</w:t>
            </w:r>
          </w:p>
        </w:tc>
        <w:tc>
          <w:tcPr>
            <w:tcW w:type="dxa" w:w="1584"/>
            <w:vAlign w:val="center"/>
            <w:tcMar>
              <w:top w:w="35" w:type="dxa"/>
              <w:bottom w:w="35" w:type="dxa"/>
              <w:left w:w="45" w:type="dxa"/>
              <w:right w:w="45" w:type="dxa"/>
            </w:tcMar>
            <w:shd w:fill="FFFFFF"/>
          </w:tcPr>
          <w:p>
            <w:pPr>
              <w:spacing w:before="0" w:after="0" w:line="240" w:lineRule="auto"/>
              <w:jc w:val="left"/>
            </w:pPr>
            <w:r>
              <w:rPr>
                <w:rFonts w:ascii="Times New Roman" w:hAnsi="Times New Roman"/>
                <w:sz w:val="15"/>
              </w:rPr>
              <w:t>AUC: 96.63%, Sens: 88.5%</w:t>
            </w:r>
          </w:p>
        </w:tc>
        <w:tc>
          <w:tcPr>
            <w:tcW w:type="dxa" w:w="2376"/>
            <w:vAlign w:val="center"/>
            <w:tcMar>
              <w:top w:w="35" w:type="dxa"/>
              <w:bottom w:w="35" w:type="dxa"/>
              <w:left w:w="45" w:type="dxa"/>
              <w:right w:w="45" w:type="dxa"/>
            </w:tcMar>
            <w:shd w:fill="FFFFFF"/>
          </w:tcPr>
          <w:p>
            <w:pPr>
              <w:spacing w:before="0" w:after="0" w:line="240" w:lineRule="auto"/>
              <w:jc w:val="left"/>
            </w:pPr>
            <w:r>
              <w:rPr>
                <w:rFonts w:ascii="Times New Roman" w:hAnsi="Times New Roman"/>
                <w:sz w:val="15"/>
              </w:rPr>
              <w:t>Evaluated on static images without standardized multi-center cross-testing.</w:t>
            </w:r>
          </w:p>
        </w:tc>
      </w:tr>
      <w:tr>
        <w:tc>
          <w:tcPr>
            <w:tcW w:type="dxa" w:w="1872"/>
            <w:vAlign w:val="center"/>
            <w:tcMar>
              <w:top w:w="35" w:type="dxa"/>
              <w:bottom w:w="35" w:type="dxa"/>
              <w:left w:w="45" w:type="dxa"/>
              <w:right w:w="45" w:type="dxa"/>
            </w:tcMar>
            <w:shd w:fill="FFFFFF"/>
          </w:tcPr>
          <w:p>
            <w:pPr>
              <w:spacing w:before="0" w:after="0" w:line="240" w:lineRule="auto"/>
              <w:jc w:val="left"/>
            </w:pPr>
            <w:r>
              <w:rPr>
                <w:rFonts w:ascii="Times New Roman" w:hAnsi="Times New Roman"/>
                <w:sz w:val="15"/>
              </w:rPr>
              <w:t>Awaji et al. (2023) [12]</w:t>
            </w:r>
          </w:p>
        </w:tc>
        <w:tc>
          <w:tcPr>
            <w:tcW w:type="dxa" w:w="1008"/>
            <w:vAlign w:val="center"/>
            <w:tcMar>
              <w:top w:w="35" w:type="dxa"/>
              <w:bottom w:w="35" w:type="dxa"/>
              <w:left w:w="45" w:type="dxa"/>
              <w:right w:w="45" w:type="dxa"/>
            </w:tcMar>
            <w:shd w:fill="FFFFFF"/>
          </w:tcPr>
          <w:p>
            <w:pPr>
              <w:spacing w:before="0" w:after="0" w:line="240" w:lineRule="auto"/>
              <w:jc w:val="left"/>
            </w:pPr>
            <w:r>
              <w:rPr>
                <w:rFonts w:ascii="Times New Roman" w:hAnsi="Times New Roman"/>
                <w:sz w:val="15"/>
              </w:rPr>
              <w:t>2D Photos</w:t>
            </w:r>
          </w:p>
        </w:tc>
        <w:tc>
          <w:tcPr>
            <w:tcW w:type="dxa" w:w="1584"/>
            <w:vAlign w:val="center"/>
            <w:tcMar>
              <w:top w:w="35" w:type="dxa"/>
              <w:bottom w:w="35" w:type="dxa"/>
              <w:left w:w="45" w:type="dxa"/>
              <w:right w:w="45" w:type="dxa"/>
            </w:tcMar>
            <w:shd w:fill="FFFFFF"/>
          </w:tcPr>
          <w:p>
            <w:pPr>
              <w:spacing w:before="0" w:after="0" w:line="240" w:lineRule="auto"/>
              <w:jc w:val="left"/>
            </w:pPr>
            <w:r>
              <w:rPr>
                <w:rFonts w:ascii="Times New Roman" w:hAnsi="Times New Roman"/>
                <w:sz w:val="15"/>
              </w:rPr>
              <w:t>Multi-Feature (N=2,940)</w:t>
            </w:r>
          </w:p>
        </w:tc>
        <w:tc>
          <w:tcPr>
            <w:tcW w:type="dxa" w:w="2016"/>
            <w:vAlign w:val="center"/>
            <w:tcMar>
              <w:top w:w="35" w:type="dxa"/>
              <w:bottom w:w="35" w:type="dxa"/>
              <w:left w:w="45" w:type="dxa"/>
              <w:right w:w="45" w:type="dxa"/>
            </w:tcMar>
            <w:shd w:fill="FFFFFF"/>
          </w:tcPr>
          <w:p>
            <w:pPr>
              <w:spacing w:before="0" w:after="0" w:line="240" w:lineRule="auto"/>
              <w:jc w:val="left"/>
            </w:pPr>
            <w:r>
              <w:rPr>
                <w:rFonts w:ascii="Times New Roman" w:hAnsi="Times New Roman"/>
                <w:sz w:val="15"/>
              </w:rPr>
              <w:t>VGG16 + ResNet101 + MobileNet + RF</w:t>
            </w:r>
          </w:p>
        </w:tc>
        <w:tc>
          <w:tcPr>
            <w:tcW w:type="dxa" w:w="1584"/>
            <w:vAlign w:val="center"/>
            <w:tcMar>
              <w:top w:w="35" w:type="dxa"/>
              <w:bottom w:w="35" w:type="dxa"/>
              <w:left w:w="45" w:type="dxa"/>
              <w:right w:w="45" w:type="dxa"/>
            </w:tcMar>
            <w:shd w:fill="FFFFFF"/>
          </w:tcPr>
          <w:p>
            <w:pPr>
              <w:spacing w:before="0" w:after="0" w:line="240" w:lineRule="auto"/>
              <w:jc w:val="left"/>
            </w:pPr>
            <w:r>
              <w:rPr>
                <w:rFonts w:ascii="Times New Roman" w:hAnsi="Times New Roman"/>
                <w:sz w:val="15"/>
              </w:rPr>
              <w:t>Acc: 98.8%, AUC: 99.25%</w:t>
            </w:r>
          </w:p>
        </w:tc>
        <w:tc>
          <w:tcPr>
            <w:tcW w:type="dxa" w:w="2376"/>
            <w:vAlign w:val="center"/>
            <w:tcMar>
              <w:top w:w="35" w:type="dxa"/>
              <w:bottom w:w="35" w:type="dxa"/>
              <w:left w:w="45" w:type="dxa"/>
              <w:right w:w="45" w:type="dxa"/>
            </w:tcMar>
            <w:shd w:fill="FFFFFF"/>
          </w:tcPr>
          <w:p>
            <w:pPr>
              <w:spacing w:before="0" w:after="0" w:line="240" w:lineRule="auto"/>
              <w:jc w:val="left"/>
            </w:pPr>
            <w:r>
              <w:rPr>
                <w:rFonts w:ascii="Times New Roman" w:hAnsi="Times New Roman"/>
                <w:sz w:val="15"/>
              </w:rPr>
              <w:t>Complex multi-backbone feature fusion; substantial memory footprint.</w:t>
            </w:r>
          </w:p>
        </w:tc>
      </w:tr>
      <w:tr>
        <w:tc>
          <w:tcPr>
            <w:tcW w:type="dxa" w:w="1872"/>
            <w:vAlign w:val="center"/>
            <w:tcMar>
              <w:top w:w="35" w:type="dxa"/>
              <w:bottom w:w="35" w:type="dxa"/>
              <w:left w:w="45" w:type="dxa"/>
              <w:right w:w="45" w:type="dxa"/>
            </w:tcMar>
            <w:shd w:fill="FFFFFF"/>
          </w:tcPr>
          <w:p>
            <w:pPr>
              <w:spacing w:before="0" w:after="0" w:line="240" w:lineRule="auto"/>
              <w:jc w:val="left"/>
            </w:pPr>
            <w:r>
              <w:rPr>
                <w:rFonts w:ascii="Times New Roman" w:hAnsi="Times New Roman"/>
                <w:sz w:val="15"/>
              </w:rPr>
              <w:t>Khan et al. (2024) [11]</w:t>
            </w:r>
          </w:p>
        </w:tc>
        <w:tc>
          <w:tcPr>
            <w:tcW w:type="dxa" w:w="1008"/>
            <w:vAlign w:val="center"/>
            <w:tcMar>
              <w:top w:w="35" w:type="dxa"/>
              <w:bottom w:w="35" w:type="dxa"/>
              <w:left w:w="45" w:type="dxa"/>
              <w:right w:w="45" w:type="dxa"/>
            </w:tcMar>
            <w:shd w:fill="FFFFFF"/>
          </w:tcPr>
          <w:p>
            <w:pPr>
              <w:spacing w:before="0" w:after="0" w:line="240" w:lineRule="auto"/>
              <w:jc w:val="left"/>
            </w:pPr>
            <w:r>
              <w:rPr>
                <w:rFonts w:ascii="Times New Roman" w:hAnsi="Times New Roman"/>
                <w:sz w:val="15"/>
              </w:rPr>
              <w:t>2D Photos</w:t>
            </w:r>
          </w:p>
        </w:tc>
        <w:tc>
          <w:tcPr>
            <w:tcW w:type="dxa" w:w="1584"/>
            <w:vAlign w:val="center"/>
            <w:tcMar>
              <w:top w:w="35" w:type="dxa"/>
              <w:bottom w:w="35" w:type="dxa"/>
              <w:left w:w="45" w:type="dxa"/>
              <w:right w:w="45" w:type="dxa"/>
            </w:tcMar>
            <w:shd w:fill="FFFFFF"/>
          </w:tcPr>
          <w:p>
            <w:pPr>
              <w:spacing w:before="0" w:after="0" w:line="240" w:lineRule="auto"/>
              <w:jc w:val="left"/>
            </w:pPr>
            <w:r>
              <w:rPr>
                <w:rFonts w:ascii="Times New Roman" w:hAnsi="Times New Roman"/>
                <w:sz w:val="15"/>
              </w:rPr>
              <w:t>Kaggle ASD (N=2,940)</w:t>
            </w:r>
          </w:p>
        </w:tc>
        <w:tc>
          <w:tcPr>
            <w:tcW w:type="dxa" w:w="2016"/>
            <w:vAlign w:val="center"/>
            <w:tcMar>
              <w:top w:w="35" w:type="dxa"/>
              <w:bottom w:w="35" w:type="dxa"/>
              <w:left w:w="45" w:type="dxa"/>
              <w:right w:w="45" w:type="dxa"/>
            </w:tcMar>
            <w:shd w:fill="FFFFFF"/>
          </w:tcPr>
          <w:p>
            <w:pPr>
              <w:spacing w:before="0" w:after="0" w:line="240" w:lineRule="auto"/>
              <w:jc w:val="left"/>
            </w:pPr>
            <w:r>
              <w:rPr>
                <w:rFonts w:ascii="Times New Roman" w:hAnsi="Times New Roman"/>
                <w:sz w:val="15"/>
              </w:rPr>
              <w:t>DenseNet121, ResNet50, MobileNetV2</w:t>
            </w:r>
          </w:p>
        </w:tc>
        <w:tc>
          <w:tcPr>
            <w:tcW w:type="dxa" w:w="1584"/>
            <w:vAlign w:val="center"/>
            <w:tcMar>
              <w:top w:w="35" w:type="dxa"/>
              <w:bottom w:w="35" w:type="dxa"/>
              <w:left w:w="45" w:type="dxa"/>
              <w:right w:w="45" w:type="dxa"/>
            </w:tcMar>
            <w:shd w:fill="FFFFFF"/>
          </w:tcPr>
          <w:p>
            <w:pPr>
              <w:spacing w:before="0" w:after="0" w:line="240" w:lineRule="auto"/>
              <w:jc w:val="left"/>
            </w:pPr>
            <w:r>
              <w:rPr>
                <w:rFonts w:ascii="Times New Roman" w:hAnsi="Times New Roman"/>
                <w:sz w:val="15"/>
              </w:rPr>
              <w:t>Acc: 96.0%, Prec: 99.0%</w:t>
            </w:r>
          </w:p>
        </w:tc>
        <w:tc>
          <w:tcPr>
            <w:tcW w:type="dxa" w:w="2376"/>
            <w:vAlign w:val="center"/>
            <w:tcMar>
              <w:top w:w="35" w:type="dxa"/>
              <w:bottom w:w="35" w:type="dxa"/>
              <w:left w:w="45" w:type="dxa"/>
              <w:right w:w="45" w:type="dxa"/>
            </w:tcMar>
            <w:shd w:fill="FFFFFF"/>
          </w:tcPr>
          <w:p>
            <w:pPr>
              <w:spacing w:before="0" w:after="0" w:line="240" w:lineRule="auto"/>
              <w:jc w:val="left"/>
            </w:pPr>
            <w:r>
              <w:rPr>
                <w:rFonts w:ascii="Times New Roman" w:hAnsi="Times New Roman"/>
                <w:sz w:val="15"/>
              </w:rPr>
              <w:t>Random split; lacked latency quantification for point-of-care triage.</w:t>
            </w:r>
          </w:p>
        </w:tc>
      </w:tr>
      <w:tr>
        <w:tc>
          <w:tcPr>
            <w:tcW w:type="dxa" w:w="1872"/>
            <w:vAlign w:val="center"/>
            <w:tcMar>
              <w:top w:w="35" w:type="dxa"/>
              <w:bottom w:w="35" w:type="dxa"/>
              <w:left w:w="45" w:type="dxa"/>
              <w:right w:w="45" w:type="dxa"/>
            </w:tcMar>
            <w:shd w:fill="FFFFFF"/>
          </w:tcPr>
          <w:p>
            <w:pPr>
              <w:spacing w:before="0" w:after="0" w:line="240" w:lineRule="auto"/>
              <w:jc w:val="left"/>
            </w:pPr>
            <w:r>
              <w:rPr>
                <w:rFonts w:ascii="Times New Roman" w:hAnsi="Times New Roman"/>
                <w:sz w:val="15"/>
              </w:rPr>
              <w:t>Kaur et al. (2026) [15]</w:t>
            </w:r>
          </w:p>
        </w:tc>
        <w:tc>
          <w:tcPr>
            <w:tcW w:type="dxa" w:w="1008"/>
            <w:vAlign w:val="center"/>
            <w:tcMar>
              <w:top w:w="35" w:type="dxa"/>
              <w:bottom w:w="35" w:type="dxa"/>
              <w:left w:w="45" w:type="dxa"/>
              <w:right w:w="45" w:type="dxa"/>
            </w:tcMar>
            <w:shd w:fill="FFFFFF"/>
          </w:tcPr>
          <w:p>
            <w:pPr>
              <w:spacing w:before="0" w:after="0" w:line="240" w:lineRule="auto"/>
              <w:jc w:val="left"/>
            </w:pPr>
            <w:r>
              <w:rPr>
                <w:rFonts w:ascii="Times New Roman" w:hAnsi="Times New Roman"/>
                <w:sz w:val="15"/>
              </w:rPr>
              <w:t>2D Photos</w:t>
            </w:r>
          </w:p>
        </w:tc>
        <w:tc>
          <w:tcPr>
            <w:tcW w:type="dxa" w:w="1584"/>
            <w:vAlign w:val="center"/>
            <w:tcMar>
              <w:top w:w="35" w:type="dxa"/>
              <w:bottom w:w="35" w:type="dxa"/>
              <w:left w:w="45" w:type="dxa"/>
              <w:right w:w="45" w:type="dxa"/>
            </w:tcMar>
            <w:shd w:fill="FFFFFF"/>
          </w:tcPr>
          <w:p>
            <w:pPr>
              <w:spacing w:before="0" w:after="0" w:line="240" w:lineRule="auto"/>
              <w:jc w:val="left"/>
            </w:pPr>
            <w:r>
              <w:rPr>
                <w:rFonts w:ascii="Times New Roman" w:hAnsi="Times New Roman"/>
                <w:sz w:val="15"/>
              </w:rPr>
              <w:t>Kaggle ASD (N=2,936)</w:t>
            </w:r>
          </w:p>
        </w:tc>
        <w:tc>
          <w:tcPr>
            <w:tcW w:type="dxa" w:w="2016"/>
            <w:vAlign w:val="center"/>
            <w:tcMar>
              <w:top w:w="35" w:type="dxa"/>
              <w:bottom w:w="35" w:type="dxa"/>
              <w:left w:w="45" w:type="dxa"/>
              <w:right w:w="45" w:type="dxa"/>
            </w:tcMar>
            <w:shd w:fill="FFFFFF"/>
          </w:tcPr>
          <w:p>
            <w:pPr>
              <w:spacing w:before="0" w:after="0" w:line="240" w:lineRule="auto"/>
              <w:jc w:val="left"/>
            </w:pPr>
            <w:r>
              <w:rPr>
                <w:rFonts w:ascii="Times New Roman" w:hAnsi="Times New Roman"/>
                <w:sz w:val="15"/>
              </w:rPr>
              <w:t>Modified HOG + Multichannel CNN</w:t>
            </w:r>
          </w:p>
        </w:tc>
        <w:tc>
          <w:tcPr>
            <w:tcW w:type="dxa" w:w="1584"/>
            <w:vAlign w:val="center"/>
            <w:tcMar>
              <w:top w:w="35" w:type="dxa"/>
              <w:bottom w:w="35" w:type="dxa"/>
              <w:left w:w="45" w:type="dxa"/>
              <w:right w:w="45" w:type="dxa"/>
            </w:tcMar>
            <w:shd w:fill="FFFFFF"/>
          </w:tcPr>
          <w:p>
            <w:pPr>
              <w:spacing w:before="0" w:after="0" w:line="240" w:lineRule="auto"/>
              <w:jc w:val="left"/>
            </w:pPr>
            <w:r>
              <w:rPr>
                <w:rFonts w:ascii="Times New Roman" w:hAnsi="Times New Roman"/>
                <w:sz w:val="15"/>
              </w:rPr>
              <w:t>Acc: 96.2%, Val: 98.0%</w:t>
            </w:r>
          </w:p>
        </w:tc>
        <w:tc>
          <w:tcPr>
            <w:tcW w:type="dxa" w:w="2376"/>
            <w:vAlign w:val="center"/>
            <w:tcMar>
              <w:top w:w="35" w:type="dxa"/>
              <w:bottom w:w="35" w:type="dxa"/>
              <w:left w:w="45" w:type="dxa"/>
              <w:right w:w="45" w:type="dxa"/>
            </w:tcMar>
            <w:shd w:fill="FFFFFF"/>
          </w:tcPr>
          <w:p>
            <w:pPr>
              <w:spacing w:before="0" w:after="0" w:line="240" w:lineRule="auto"/>
              <w:jc w:val="left"/>
            </w:pPr>
            <w:r>
              <w:rPr>
                <w:rFonts w:ascii="Times New Roman" w:hAnsi="Times New Roman"/>
                <w:sz w:val="15"/>
              </w:rPr>
              <w:t>Manual HOG hand-crafted feature extraction overhead.</w:t>
            </w:r>
          </w:p>
        </w:tc>
      </w:tr>
      <w:tr>
        <w:tc>
          <w:tcPr>
            <w:tcW w:type="dxa" w:w="1872"/>
            <w:vAlign w:val="center"/>
            <w:tcMar>
              <w:top w:w="35" w:type="dxa"/>
              <w:bottom w:w="35" w:type="dxa"/>
              <w:left w:w="45" w:type="dxa"/>
              <w:right w:w="45" w:type="dxa"/>
            </w:tcMar>
            <w:shd w:fill="FFFFFF"/>
          </w:tcPr>
          <w:p>
            <w:pPr>
              <w:spacing w:before="0" w:after="0" w:line="240" w:lineRule="auto"/>
              <w:jc w:val="left"/>
            </w:pPr>
            <w:r>
              <w:rPr>
                <w:rFonts w:ascii="Times New Roman" w:hAnsi="Times New Roman"/>
                <w:sz w:val="15"/>
              </w:rPr>
              <w:t>Revathi et al. (2026) [3]</w:t>
            </w:r>
          </w:p>
        </w:tc>
        <w:tc>
          <w:tcPr>
            <w:tcW w:type="dxa" w:w="1008"/>
            <w:vAlign w:val="center"/>
            <w:tcMar>
              <w:top w:w="35" w:type="dxa"/>
              <w:bottom w:w="35" w:type="dxa"/>
              <w:left w:w="45" w:type="dxa"/>
              <w:right w:w="45" w:type="dxa"/>
            </w:tcMar>
            <w:shd w:fill="FFFFFF"/>
          </w:tcPr>
          <w:p>
            <w:pPr>
              <w:spacing w:before="0" w:after="0" w:line="240" w:lineRule="auto"/>
              <w:jc w:val="left"/>
            </w:pPr>
            <w:r>
              <w:rPr>
                <w:rFonts w:ascii="Times New Roman" w:hAnsi="Times New Roman"/>
                <w:sz w:val="15"/>
              </w:rPr>
              <w:t>2D Photos</w:t>
            </w:r>
          </w:p>
        </w:tc>
        <w:tc>
          <w:tcPr>
            <w:tcW w:type="dxa" w:w="1584"/>
            <w:vAlign w:val="center"/>
            <w:tcMar>
              <w:top w:w="35" w:type="dxa"/>
              <w:bottom w:w="35" w:type="dxa"/>
              <w:left w:w="45" w:type="dxa"/>
              <w:right w:w="45" w:type="dxa"/>
            </w:tcMar>
            <w:shd w:fill="FFFFFF"/>
          </w:tcPr>
          <w:p>
            <w:pPr>
              <w:spacing w:before="0" w:after="0" w:line="240" w:lineRule="auto"/>
              <w:jc w:val="left"/>
            </w:pPr>
            <w:r>
              <w:rPr>
                <w:rFonts w:ascii="Times New Roman" w:hAnsi="Times New Roman"/>
                <w:sz w:val="15"/>
              </w:rPr>
              <w:t>Kaggle ASD (N=2,940)</w:t>
            </w:r>
          </w:p>
        </w:tc>
        <w:tc>
          <w:tcPr>
            <w:tcW w:type="dxa" w:w="2016"/>
            <w:vAlign w:val="center"/>
            <w:tcMar>
              <w:top w:w="35" w:type="dxa"/>
              <w:bottom w:w="35" w:type="dxa"/>
              <w:left w:w="45" w:type="dxa"/>
              <w:right w:w="45" w:type="dxa"/>
            </w:tcMar>
            <w:shd w:fill="FFFFFF"/>
          </w:tcPr>
          <w:p>
            <w:pPr>
              <w:spacing w:before="0" w:after="0" w:line="240" w:lineRule="auto"/>
              <w:jc w:val="left"/>
            </w:pPr>
            <w:r>
              <w:rPr>
                <w:rFonts w:ascii="Times New Roman" w:hAnsi="Times New Roman"/>
                <w:sz w:val="15"/>
              </w:rPr>
              <w:t>ResNet-152 + CBAM + ViT-Large</w:t>
            </w:r>
          </w:p>
        </w:tc>
        <w:tc>
          <w:tcPr>
            <w:tcW w:type="dxa" w:w="1584"/>
            <w:vAlign w:val="center"/>
            <w:tcMar>
              <w:top w:w="35" w:type="dxa"/>
              <w:bottom w:w="35" w:type="dxa"/>
              <w:left w:w="45" w:type="dxa"/>
              <w:right w:w="45" w:type="dxa"/>
            </w:tcMar>
            <w:shd w:fill="FFFFFF"/>
          </w:tcPr>
          <w:p>
            <w:pPr>
              <w:spacing w:before="0" w:after="0" w:line="240" w:lineRule="auto"/>
              <w:jc w:val="left"/>
            </w:pPr>
            <w:r>
              <w:rPr>
                <w:rFonts w:ascii="Times New Roman" w:hAnsi="Times New Roman"/>
                <w:sz w:val="15"/>
              </w:rPr>
              <w:t>Acc: 92.0%, AUC: 96.74%</w:t>
            </w:r>
          </w:p>
        </w:tc>
        <w:tc>
          <w:tcPr>
            <w:tcW w:type="dxa" w:w="2376"/>
            <w:vAlign w:val="center"/>
            <w:tcMar>
              <w:top w:w="35" w:type="dxa"/>
              <w:bottom w:w="35" w:type="dxa"/>
              <w:left w:w="45" w:type="dxa"/>
              <w:right w:w="45" w:type="dxa"/>
            </w:tcMar>
            <w:shd w:fill="FFFFFF"/>
          </w:tcPr>
          <w:p>
            <w:pPr>
              <w:spacing w:before="0" w:after="0" w:line="240" w:lineRule="auto"/>
              <w:jc w:val="left"/>
            </w:pPr>
            <w:r>
              <w:rPr>
                <w:rFonts w:ascii="Times New Roman" w:hAnsi="Times New Roman"/>
                <w:sz w:val="15"/>
              </w:rPr>
              <w:t>High compute complexity requiring large transformer cross-attention.</w:t>
            </w:r>
          </w:p>
        </w:tc>
      </w:tr>
      <w:tr>
        <w:tc>
          <w:tcPr>
            <w:tcW w:type="dxa" w:w="1872"/>
            <w:vAlign w:val="center"/>
            <w:tcMar>
              <w:top w:w="35" w:type="dxa"/>
              <w:bottom w:w="35" w:type="dxa"/>
              <w:left w:w="45" w:type="dxa"/>
              <w:right w:w="45" w:type="dxa"/>
            </w:tcMar>
            <w:shd w:fill="F8FAFC"/>
          </w:tcPr>
          <w:p>
            <w:pPr>
              <w:spacing w:before="0" w:after="0" w:line="240" w:lineRule="auto"/>
              <w:jc w:val="left"/>
            </w:pPr>
            <w:r>
              <w:rPr>
                <w:rFonts w:ascii="Times New Roman" w:hAnsi="Times New Roman"/>
                <w:b/>
                <w:sz w:val="15"/>
              </w:rPr>
              <w:t>This Work (Proposed)</w:t>
            </w:r>
          </w:p>
        </w:tc>
        <w:tc>
          <w:tcPr>
            <w:tcW w:type="dxa" w:w="1008"/>
            <w:vAlign w:val="center"/>
            <w:tcMar>
              <w:top w:w="35" w:type="dxa"/>
              <w:bottom w:w="35" w:type="dxa"/>
              <w:left w:w="45" w:type="dxa"/>
              <w:right w:w="45" w:type="dxa"/>
            </w:tcMar>
            <w:shd w:fill="F8FAFC"/>
          </w:tcPr>
          <w:p>
            <w:pPr>
              <w:spacing w:before="0" w:after="0" w:line="240" w:lineRule="auto"/>
              <w:jc w:val="left"/>
            </w:pPr>
            <w:r>
              <w:rPr>
                <w:rFonts w:ascii="Times New Roman" w:hAnsi="Times New Roman"/>
                <w:b/>
                <w:sz w:val="15"/>
              </w:rPr>
              <w:t>2D Photos</w:t>
            </w:r>
          </w:p>
        </w:tc>
        <w:tc>
          <w:tcPr>
            <w:tcW w:type="dxa" w:w="1584"/>
            <w:vAlign w:val="center"/>
            <w:tcMar>
              <w:top w:w="35" w:type="dxa"/>
              <w:bottom w:w="35" w:type="dxa"/>
              <w:left w:w="45" w:type="dxa"/>
              <w:right w:w="45" w:type="dxa"/>
            </w:tcMar>
            <w:shd w:fill="F8FAFC"/>
          </w:tcPr>
          <w:p>
            <w:pPr>
              <w:spacing w:before="0" w:after="0" w:line="240" w:lineRule="auto"/>
              <w:jc w:val="left"/>
            </w:pPr>
            <w:r>
              <w:rPr>
                <w:rFonts w:ascii="Times New Roman" w:hAnsi="Times New Roman"/>
                <w:b/>
                <w:sz w:val="15"/>
              </w:rPr>
              <w:t>Multi-Center (N=5,772)</w:t>
            </w:r>
          </w:p>
        </w:tc>
        <w:tc>
          <w:tcPr>
            <w:tcW w:type="dxa" w:w="2016"/>
            <w:vAlign w:val="center"/>
            <w:tcMar>
              <w:top w:w="35" w:type="dxa"/>
              <w:bottom w:w="35" w:type="dxa"/>
              <w:left w:w="45" w:type="dxa"/>
              <w:right w:w="45" w:type="dxa"/>
            </w:tcMar>
            <w:shd w:fill="F8FAFC"/>
          </w:tcPr>
          <w:p>
            <w:pPr>
              <w:spacing w:before="0" w:after="0" w:line="240" w:lineRule="auto"/>
              <w:jc w:val="left"/>
            </w:pPr>
            <w:r>
              <w:rPr>
                <w:rFonts w:ascii="Times New Roman" w:hAnsi="Times New Roman"/>
                <w:b/>
                <w:sz w:val="15"/>
              </w:rPr>
              <w:t>Comparative Deep CNN Benchmark (ResNet-50)</w:t>
            </w:r>
          </w:p>
        </w:tc>
        <w:tc>
          <w:tcPr>
            <w:tcW w:type="dxa" w:w="1584"/>
            <w:vAlign w:val="center"/>
            <w:tcMar>
              <w:top w:w="35" w:type="dxa"/>
              <w:bottom w:w="35" w:type="dxa"/>
              <w:left w:w="45" w:type="dxa"/>
              <w:right w:w="45" w:type="dxa"/>
            </w:tcMar>
            <w:shd w:fill="F8FAFC"/>
          </w:tcPr>
          <w:p>
            <w:pPr>
              <w:spacing w:before="0" w:after="0" w:line="240" w:lineRule="auto"/>
              <w:jc w:val="left"/>
            </w:pPr>
            <w:r>
              <w:rPr>
                <w:rFonts w:ascii="Times New Roman" w:hAnsi="Times New Roman"/>
                <w:b/>
                <w:sz w:val="15"/>
              </w:rPr>
              <w:t>Acc: 82.4%, AUROC: 88.6%</w:t>
            </w:r>
          </w:p>
        </w:tc>
        <w:tc>
          <w:tcPr>
            <w:tcW w:type="dxa" w:w="2376"/>
            <w:vAlign w:val="center"/>
            <w:tcMar>
              <w:top w:w="35" w:type="dxa"/>
              <w:bottom w:w="35" w:type="dxa"/>
              <w:left w:w="45" w:type="dxa"/>
              <w:right w:w="45" w:type="dxa"/>
            </w:tcMar>
            <w:shd w:fill="F8FAFC"/>
          </w:tcPr>
          <w:p>
            <w:pPr>
              <w:spacing w:before="0" w:after="0" w:line="240" w:lineRule="auto"/>
              <w:jc w:val="left"/>
            </w:pPr>
            <w:r>
              <w:rPr>
                <w:rFonts w:ascii="Times New Roman" w:hAnsi="Times New Roman"/>
                <w:b/>
                <w:sz w:val="15"/>
              </w:rPr>
              <w:t>Balanced multi-center cohort (N=5,772), automated MTCNN alignment, sub-45ms latency.</w:t>
            </w:r>
          </w:p>
        </w:tc>
      </w:tr>
    </w:tbl>
    <w:p>
      <w:pPr>
        <w:sectPr>
          <w:type w:val="continuous"/>
          <w:pgSz w:w="12240" w:h="15840"/>
          <w:pgMar w:top="1080" w:right="900" w:bottom="1440" w:left="900" w:header="720" w:footer="720" w:gutter="0"/>
          <w:cols w:space="360" w:num="1"/>
          <w:docGrid w:linePitch="360"/>
        </w:sectPr>
      </w:pPr>
    </w:p>
    <w:p>
      <w:pPr>
        <w:keepNext/>
        <w:spacing w:before="160" w:after="60"/>
        <w:jc w:val="center"/>
      </w:pPr>
      <w:r>
        <w:rPr>
          <w:rFonts w:ascii="Times New Roman" w:hAnsi="Times New Roman"/>
          <w:b/>
          <w:color w:val="000000"/>
          <w:sz w:val="20"/>
        </w:rPr>
        <w:t>III.  MATERIALS AND METHODS</w:t>
      </w:r>
    </w:p>
    <w:p>
      <w:pPr>
        <w:spacing w:line="240" w:lineRule="auto" w:before="0" w:after="0"/>
        <w:ind w:firstLine="202"/>
        <w:jc w:val="both"/>
      </w:pPr>
      <w:r>
        <w:rPr>
          <w:rFonts w:ascii="Times New Roman" w:hAnsi="Times New Roman"/>
          <w:color w:val="000000"/>
          <w:sz w:val="19"/>
        </w:rPr>
        <w:t>The proposed methodology operates across five sequential stages, depicted in Fig. 1: (1) Data Collection, (2) Face Preprocessing, (3) Stratified Dataset Splitting, (4) Model Training and Comparative CNN Benchmarking, and (5) Clinical Diagnostic Evaluation. Table II defines the formal mathematical notations employed throughout this work.</w:t>
      </w:r>
    </w:p>
    <w:p>
      <w:pPr>
        <w:spacing w:before="120" w:after="40"/>
        <w:jc w:val="center"/>
      </w:pPr>
      <w:r>
        <w:rPr>
          <w:rFonts w:ascii="Times New Roman" w:hAnsi="Times New Roman"/>
          <w:b/>
          <w:sz w:val="17"/>
        </w:rPr>
        <w:t>TABLE II</w:t>
        <w:br/>
      </w:r>
      <w:r>
        <w:rPr>
          <w:rFonts w:ascii="Times New Roman" w:hAnsi="Times New Roman"/>
          <w:b/>
          <w:sz w:val="16"/>
        </w:rPr>
        <w:t>MATHEMATICAL NOTATIONS AND SEMANTIC DEFINITIONS</w:t>
      </w:r>
    </w:p>
    <w:tbl>
      <w:tblPr>
        <w:tblW w:type="auto" w:w="0"/>
        <w:jc w:val="center"/>
        <w:tblLayout w:type="fixed"/>
        <w:tblLook w:firstColumn="1" w:firstRow="1" w:lastColumn="0" w:lastRow="0" w:noHBand="0" w:noVBand="1" w:val="04A0"/>
        <w:tblBorders>
          <w:top w:val="single" w:sz="12" w:space="0" w:color="000000"/>
          <w:bottom w:val="single" w:sz="12" w:space="0" w:color="000000"/>
          <w:insideH w:val="single" w:sz="4" w:space="0" w:color="64748B"/>
          <w:insideV w:val="none"/>
          <w:left w:val="none"/>
          <w:right w:val="none"/>
        </w:tblBorders>
      </w:tblPr>
      <w:tblGrid>
        <w:gridCol w:w="3480"/>
        <w:gridCol w:w="3480"/>
        <w:gridCol w:w="3480"/>
      </w:tblGrid>
      <w:tr>
        <w:tc>
          <w:tcPr>
            <w:tcW w:type="dxa" w:w="1152"/>
            <w:vAlign w:val="center"/>
            <w:tcMar>
              <w:top w:w="25" w:type="dxa"/>
              <w:bottom w:w="25" w:type="dxa"/>
              <w:left w:w="35" w:type="dxa"/>
              <w:right w:w="35" w:type="dxa"/>
            </w:tcMar>
            <w:shd w:fill="F1F5F9"/>
          </w:tcPr>
          <w:p>
            <w:pPr>
              <w:spacing w:before="0" w:after="0"/>
              <w:jc w:val="left"/>
            </w:pPr>
            <w:r>
              <w:rPr>
                <w:rFonts w:ascii="Times New Roman" w:hAnsi="Times New Roman"/>
                <w:b/>
                <w:sz w:val="15"/>
              </w:rPr>
              <w:t>Symbol</w:t>
            </w:r>
          </w:p>
        </w:tc>
        <w:tc>
          <w:tcPr>
            <w:tcW w:type="dxa" w:w="1440"/>
            <w:vAlign w:val="center"/>
            <w:tcMar>
              <w:top w:w="25" w:type="dxa"/>
              <w:bottom w:w="25" w:type="dxa"/>
              <w:left w:w="35" w:type="dxa"/>
              <w:right w:w="35" w:type="dxa"/>
            </w:tcMar>
            <w:shd w:fill="F1F5F9"/>
          </w:tcPr>
          <w:p>
            <w:pPr>
              <w:spacing w:before="0" w:after="0"/>
              <w:jc w:val="left"/>
            </w:pPr>
            <w:r>
              <w:rPr>
                <w:rFonts w:ascii="Times New Roman" w:hAnsi="Times New Roman"/>
                <w:b/>
                <w:sz w:val="15"/>
              </w:rPr>
              <w:t>Domain</w:t>
            </w:r>
          </w:p>
        </w:tc>
        <w:tc>
          <w:tcPr>
            <w:tcW w:type="dxa" w:w="2448"/>
            <w:vAlign w:val="center"/>
            <w:tcMar>
              <w:top w:w="25" w:type="dxa"/>
              <w:bottom w:w="25" w:type="dxa"/>
              <w:left w:w="35" w:type="dxa"/>
              <w:right w:w="35" w:type="dxa"/>
            </w:tcMar>
            <w:shd w:fill="F1F5F9"/>
          </w:tcPr>
          <w:p>
            <w:pPr>
              <w:spacing w:before="0" w:after="0"/>
              <w:jc w:val="left"/>
            </w:pPr>
            <w:r>
              <w:rPr>
                <w:rFonts w:ascii="Times New Roman" w:hAnsi="Times New Roman"/>
                <w:b/>
                <w:sz w:val="15"/>
              </w:rPr>
              <w:t>Semantic Definition</w:t>
            </w:r>
          </w:p>
        </w:tc>
      </w:tr>
      <w:tr>
        <w:tc>
          <w:tcPr>
            <w:tcW w:type="dxa" w:w="1152"/>
            <w:vAlign w:val="center"/>
            <w:tcMar>
              <w:top w:w="25" w:type="dxa"/>
              <w:bottom w:w="25" w:type="dxa"/>
              <w:left w:w="35" w:type="dxa"/>
              <w:right w:w="35" w:type="dxa"/>
            </w:tcMar>
            <w:shd w:fill="FFFFFF"/>
          </w:tcPr>
          <w:p>
            <w:pPr>
              <w:spacing w:before="0" w:after="0"/>
              <w:jc w:val="left"/>
            </w:pPr>
            <w:r>
              <w:rPr>
                <w:rFonts w:ascii="Times New Roman" w:hAnsi="Times New Roman"/>
                <w:b/>
                <w:sz w:val="15"/>
              </w:rPr>
              <w:t>I_raw</w:t>
            </w:r>
          </w:p>
        </w:tc>
        <w:tc>
          <w:tcPr>
            <w:tcW w:type="dxa" w:w="1440"/>
            <w:vAlign w:val="center"/>
            <w:tcMar>
              <w:top w:w="25" w:type="dxa"/>
              <w:bottom w:w="25" w:type="dxa"/>
              <w:left w:w="35" w:type="dxa"/>
              <w:right w:w="35" w:type="dxa"/>
            </w:tcMar>
            <w:shd w:fill="FFFFFF"/>
          </w:tcPr>
          <w:p>
            <w:pPr>
              <w:spacing w:before="0" w:after="0"/>
              <w:jc w:val="left"/>
            </w:pPr>
            <w:r>
              <w:rPr>
                <w:rFonts w:ascii="Times New Roman" w:hAnsi="Times New Roman"/>
                <w:sz w:val="15"/>
              </w:rPr>
              <w:t>R^{H0×W0×3}</w:t>
            </w:r>
          </w:p>
        </w:tc>
        <w:tc>
          <w:tcPr>
            <w:tcW w:type="dxa" w:w="2448"/>
            <w:vAlign w:val="center"/>
            <w:tcMar>
              <w:top w:w="25" w:type="dxa"/>
              <w:bottom w:w="25" w:type="dxa"/>
              <w:left w:w="35" w:type="dxa"/>
              <w:right w:w="35" w:type="dxa"/>
            </w:tcMar>
            <w:shd w:fill="FFFFFF"/>
          </w:tcPr>
          <w:p>
            <w:pPr>
              <w:spacing w:before="0" w:after="0"/>
              <w:jc w:val="left"/>
            </w:pPr>
            <w:r>
              <w:rPr>
                <w:rFonts w:ascii="Times New Roman" w:hAnsi="Times New Roman"/>
                <w:sz w:val="15"/>
              </w:rPr>
              <w:t>Raw photographic portrait.</w:t>
            </w:r>
          </w:p>
        </w:tc>
      </w:tr>
      <w:tr>
        <w:tc>
          <w:tcPr>
            <w:tcW w:type="dxa" w:w="1152"/>
            <w:vAlign w:val="center"/>
            <w:tcMar>
              <w:top w:w="25" w:type="dxa"/>
              <w:bottom w:w="25" w:type="dxa"/>
              <w:left w:w="35" w:type="dxa"/>
              <w:right w:w="35" w:type="dxa"/>
            </w:tcMar>
            <w:shd w:fill="FFFFFF"/>
          </w:tcPr>
          <w:p>
            <w:pPr>
              <w:spacing w:before="0" w:after="0"/>
              <w:jc w:val="left"/>
            </w:pPr>
            <w:r>
              <w:rPr>
                <w:rFonts w:ascii="Times New Roman" w:hAnsi="Times New Roman"/>
                <w:b/>
                <w:sz w:val="15"/>
              </w:rPr>
              <w:t>I</w:t>
            </w:r>
          </w:p>
        </w:tc>
        <w:tc>
          <w:tcPr>
            <w:tcW w:type="dxa" w:w="1440"/>
            <w:vAlign w:val="center"/>
            <w:tcMar>
              <w:top w:w="25" w:type="dxa"/>
              <w:bottom w:w="25" w:type="dxa"/>
              <w:left w:w="35" w:type="dxa"/>
              <w:right w:w="35" w:type="dxa"/>
            </w:tcMar>
            <w:shd w:fill="FFFFFF"/>
          </w:tcPr>
          <w:p>
            <w:pPr>
              <w:spacing w:before="0" w:after="0"/>
              <w:jc w:val="left"/>
            </w:pPr>
            <w:r>
              <w:rPr>
                <w:rFonts w:ascii="Times New Roman" w:hAnsi="Times New Roman"/>
                <w:sz w:val="15"/>
              </w:rPr>
              <w:t>R^{224×224×3}</w:t>
            </w:r>
          </w:p>
        </w:tc>
        <w:tc>
          <w:tcPr>
            <w:tcW w:type="dxa" w:w="2448"/>
            <w:vAlign w:val="center"/>
            <w:tcMar>
              <w:top w:w="25" w:type="dxa"/>
              <w:bottom w:w="25" w:type="dxa"/>
              <w:left w:w="35" w:type="dxa"/>
              <w:right w:w="35" w:type="dxa"/>
            </w:tcMar>
            <w:shd w:fill="FFFFFF"/>
          </w:tcPr>
          <w:p>
            <w:pPr>
              <w:spacing w:before="0" w:after="0"/>
              <w:jc w:val="left"/>
            </w:pPr>
            <w:r>
              <w:rPr>
                <w:rFonts w:ascii="Times New Roman" w:hAnsi="Times New Roman"/>
                <w:sz w:val="15"/>
              </w:rPr>
              <w:t>Standardized preprocessed crop.</w:t>
            </w:r>
          </w:p>
        </w:tc>
      </w:tr>
      <w:tr>
        <w:tc>
          <w:tcPr>
            <w:tcW w:type="dxa" w:w="1152"/>
            <w:vAlign w:val="center"/>
            <w:tcMar>
              <w:top w:w="25" w:type="dxa"/>
              <w:bottom w:w="25" w:type="dxa"/>
              <w:left w:w="35" w:type="dxa"/>
              <w:right w:w="35" w:type="dxa"/>
            </w:tcMar>
            <w:shd w:fill="FFFFFF"/>
          </w:tcPr>
          <w:p>
            <w:pPr>
              <w:spacing w:before="0" w:after="0"/>
              <w:jc w:val="left"/>
            </w:pPr>
            <w:r>
              <w:rPr>
                <w:rFonts w:ascii="Times New Roman" w:hAnsi="Times New Roman"/>
                <w:b/>
                <w:sz w:val="15"/>
              </w:rPr>
              <w:t>B</w:t>
            </w:r>
          </w:p>
        </w:tc>
        <w:tc>
          <w:tcPr>
            <w:tcW w:type="dxa" w:w="1440"/>
            <w:vAlign w:val="center"/>
            <w:tcMar>
              <w:top w:w="25" w:type="dxa"/>
              <w:bottom w:w="25" w:type="dxa"/>
              <w:left w:w="35" w:type="dxa"/>
              <w:right w:w="35" w:type="dxa"/>
            </w:tcMar>
            <w:shd w:fill="FFFFFF"/>
          </w:tcPr>
          <w:p>
            <w:pPr>
              <w:spacing w:before="0" w:after="0"/>
              <w:jc w:val="left"/>
            </w:pPr>
            <w:r>
              <w:rPr>
                <w:rFonts w:ascii="Times New Roman" w:hAnsi="Times New Roman"/>
                <w:sz w:val="15"/>
              </w:rPr>
              <w:t>R^4</w:t>
            </w:r>
          </w:p>
        </w:tc>
        <w:tc>
          <w:tcPr>
            <w:tcW w:type="dxa" w:w="2448"/>
            <w:vAlign w:val="center"/>
            <w:tcMar>
              <w:top w:w="25" w:type="dxa"/>
              <w:bottom w:w="25" w:type="dxa"/>
              <w:left w:w="35" w:type="dxa"/>
              <w:right w:w="35" w:type="dxa"/>
            </w:tcMar>
            <w:shd w:fill="FFFFFF"/>
          </w:tcPr>
          <w:p>
            <w:pPr>
              <w:spacing w:before="0" w:after="0"/>
              <w:jc w:val="left"/>
            </w:pPr>
            <w:r>
              <w:rPr>
                <w:rFonts w:ascii="Times New Roman" w:hAnsi="Times New Roman"/>
                <w:sz w:val="15"/>
              </w:rPr>
              <w:t>MTCNN bounding box (x,y,w,h).</w:t>
            </w:r>
          </w:p>
        </w:tc>
      </w:tr>
      <w:tr>
        <w:tc>
          <w:tcPr>
            <w:tcW w:type="dxa" w:w="1152"/>
            <w:vAlign w:val="center"/>
            <w:tcMar>
              <w:top w:w="25" w:type="dxa"/>
              <w:bottom w:w="25" w:type="dxa"/>
              <w:left w:w="35" w:type="dxa"/>
              <w:right w:w="35" w:type="dxa"/>
            </w:tcMar>
            <w:shd w:fill="FFFFFF"/>
          </w:tcPr>
          <w:p>
            <w:pPr>
              <w:spacing w:before="0" w:after="0"/>
              <w:jc w:val="left"/>
            </w:pPr>
            <w:r>
              <w:rPr>
                <w:rFonts w:ascii="Times New Roman" w:hAnsi="Times New Roman"/>
                <w:b/>
                <w:sz w:val="15"/>
              </w:rPr>
              <w:t>K_l</w:t>
            </w:r>
          </w:p>
        </w:tc>
        <w:tc>
          <w:tcPr>
            <w:tcW w:type="dxa" w:w="1440"/>
            <w:vAlign w:val="center"/>
            <w:tcMar>
              <w:top w:w="25" w:type="dxa"/>
              <w:bottom w:w="25" w:type="dxa"/>
              <w:left w:w="35" w:type="dxa"/>
              <w:right w:w="35" w:type="dxa"/>
            </w:tcMar>
            <w:shd w:fill="FFFFFF"/>
          </w:tcPr>
          <w:p>
            <w:pPr>
              <w:spacing w:before="0" w:after="0"/>
              <w:jc w:val="left"/>
            </w:pPr>
            <w:r>
              <w:rPr>
                <w:rFonts w:ascii="Times New Roman" w:hAnsi="Times New Roman"/>
                <w:sz w:val="15"/>
              </w:rPr>
              <w:t>R^{k×k×Cin×Cout}</w:t>
            </w:r>
          </w:p>
        </w:tc>
        <w:tc>
          <w:tcPr>
            <w:tcW w:type="dxa" w:w="2448"/>
            <w:vAlign w:val="center"/>
            <w:tcMar>
              <w:top w:w="25" w:type="dxa"/>
              <w:bottom w:w="25" w:type="dxa"/>
              <w:left w:w="35" w:type="dxa"/>
              <w:right w:w="35" w:type="dxa"/>
            </w:tcMar>
            <w:shd w:fill="FFFFFF"/>
          </w:tcPr>
          <w:p>
            <w:pPr>
              <w:spacing w:before="0" w:after="0"/>
              <w:jc w:val="left"/>
            </w:pPr>
            <w:r>
              <w:rPr>
                <w:rFonts w:ascii="Times New Roman" w:hAnsi="Times New Roman"/>
                <w:sz w:val="15"/>
              </w:rPr>
              <w:t>Kernel weights at layer l.</w:t>
            </w:r>
          </w:p>
        </w:tc>
      </w:tr>
      <w:tr>
        <w:tc>
          <w:tcPr>
            <w:tcW w:type="dxa" w:w="1152"/>
            <w:vAlign w:val="center"/>
            <w:tcMar>
              <w:top w:w="25" w:type="dxa"/>
              <w:bottom w:w="25" w:type="dxa"/>
              <w:left w:w="35" w:type="dxa"/>
              <w:right w:w="35" w:type="dxa"/>
            </w:tcMar>
            <w:shd w:fill="FFFFFF"/>
          </w:tcPr>
          <w:p>
            <w:pPr>
              <w:spacing w:before="0" w:after="0"/>
              <w:jc w:val="left"/>
            </w:pPr>
            <w:r>
              <w:rPr>
                <w:rFonts w:ascii="Times New Roman" w:hAnsi="Times New Roman"/>
                <w:b/>
                <w:sz w:val="15"/>
              </w:rPr>
              <w:t>F(x,{W})</w:t>
            </w:r>
          </w:p>
        </w:tc>
        <w:tc>
          <w:tcPr>
            <w:tcW w:type="dxa" w:w="1440"/>
            <w:vAlign w:val="center"/>
            <w:tcMar>
              <w:top w:w="25" w:type="dxa"/>
              <w:bottom w:w="25" w:type="dxa"/>
              <w:left w:w="35" w:type="dxa"/>
              <w:right w:w="35" w:type="dxa"/>
            </w:tcMar>
            <w:shd w:fill="FFFFFF"/>
          </w:tcPr>
          <w:p>
            <w:pPr>
              <w:spacing w:before="0" w:after="0"/>
              <w:jc w:val="left"/>
            </w:pPr>
            <w:r>
              <w:rPr>
                <w:rFonts w:ascii="Times New Roman" w:hAnsi="Times New Roman"/>
                <w:sz w:val="15"/>
              </w:rPr>
              <w:t>R^d -&gt; R^d</w:t>
            </w:r>
          </w:p>
        </w:tc>
        <w:tc>
          <w:tcPr>
            <w:tcW w:type="dxa" w:w="2448"/>
            <w:vAlign w:val="center"/>
            <w:tcMar>
              <w:top w:w="25" w:type="dxa"/>
              <w:bottom w:w="25" w:type="dxa"/>
              <w:left w:w="35" w:type="dxa"/>
              <w:right w:w="35" w:type="dxa"/>
            </w:tcMar>
            <w:shd w:fill="FFFFFF"/>
          </w:tcPr>
          <w:p>
            <w:pPr>
              <w:spacing w:before="0" w:after="0"/>
              <w:jc w:val="left"/>
            </w:pPr>
            <w:r>
              <w:rPr>
                <w:rFonts w:ascii="Times New Roman" w:hAnsi="Times New Roman"/>
                <w:sz w:val="15"/>
              </w:rPr>
              <w:t>Residual bottleneck mapping.</w:t>
            </w:r>
          </w:p>
        </w:tc>
      </w:tr>
      <w:tr>
        <w:tc>
          <w:tcPr>
            <w:tcW w:type="dxa" w:w="1152"/>
            <w:vAlign w:val="center"/>
            <w:tcMar>
              <w:top w:w="25" w:type="dxa"/>
              <w:bottom w:w="25" w:type="dxa"/>
              <w:left w:w="35" w:type="dxa"/>
              <w:right w:w="35" w:type="dxa"/>
            </w:tcMar>
            <w:shd w:fill="FFFFFF"/>
          </w:tcPr>
          <w:p>
            <w:pPr>
              <w:spacing w:before="0" w:after="0"/>
              <w:jc w:val="left"/>
            </w:pPr>
            <w:r>
              <w:rPr>
                <w:rFonts w:ascii="Times New Roman" w:hAnsi="Times New Roman"/>
                <w:b/>
                <w:sz w:val="15"/>
              </w:rPr>
              <w:t>L_CE</w:t>
            </w:r>
          </w:p>
        </w:tc>
        <w:tc>
          <w:tcPr>
            <w:tcW w:type="dxa" w:w="1440"/>
            <w:vAlign w:val="center"/>
            <w:tcMar>
              <w:top w:w="25" w:type="dxa"/>
              <w:bottom w:w="25" w:type="dxa"/>
              <w:left w:w="35" w:type="dxa"/>
              <w:right w:w="35" w:type="dxa"/>
            </w:tcMar>
            <w:shd w:fill="FFFFFF"/>
          </w:tcPr>
          <w:p>
            <w:pPr>
              <w:spacing w:before="0" w:after="0"/>
              <w:jc w:val="left"/>
            </w:pPr>
            <w:r>
              <w:rPr>
                <w:rFonts w:ascii="Times New Roman" w:hAnsi="Times New Roman"/>
                <w:sz w:val="15"/>
              </w:rPr>
              <w:t>R^+</w:t>
            </w:r>
          </w:p>
        </w:tc>
        <w:tc>
          <w:tcPr>
            <w:tcW w:type="dxa" w:w="2448"/>
            <w:vAlign w:val="center"/>
            <w:tcMar>
              <w:top w:w="25" w:type="dxa"/>
              <w:bottom w:w="25" w:type="dxa"/>
              <w:left w:w="35" w:type="dxa"/>
              <w:right w:w="35" w:type="dxa"/>
            </w:tcMar>
            <w:shd w:fill="FFFFFF"/>
          </w:tcPr>
          <w:p>
            <w:pPr>
              <w:spacing w:before="0" w:after="0"/>
              <w:jc w:val="left"/>
            </w:pPr>
            <w:r>
              <w:rPr>
                <w:rFonts w:ascii="Times New Roman" w:hAnsi="Times New Roman"/>
                <w:sz w:val="15"/>
              </w:rPr>
              <w:t>Cross-Entropy objective loss.</w:t>
            </w:r>
          </w:p>
        </w:tc>
      </w:tr>
      <w:tr>
        <w:tc>
          <w:tcPr>
            <w:tcW w:type="dxa" w:w="1152"/>
            <w:vAlign w:val="center"/>
            <w:tcMar>
              <w:top w:w="25" w:type="dxa"/>
              <w:bottom w:w="25" w:type="dxa"/>
              <w:left w:w="35" w:type="dxa"/>
              <w:right w:w="35" w:type="dxa"/>
            </w:tcMar>
            <w:shd w:fill="FFFFFF"/>
          </w:tcPr>
          <w:p>
            <w:pPr>
              <w:spacing w:before="0" w:after="0"/>
              <w:jc w:val="left"/>
            </w:pPr>
            <w:r>
              <w:rPr>
                <w:rFonts w:ascii="Times New Roman" w:hAnsi="Times New Roman"/>
                <w:b/>
                <w:sz w:val="15"/>
              </w:rPr>
              <w:t>y_hat</w:t>
            </w:r>
          </w:p>
        </w:tc>
        <w:tc>
          <w:tcPr>
            <w:tcW w:type="dxa" w:w="1440"/>
            <w:vAlign w:val="center"/>
            <w:tcMar>
              <w:top w:w="25" w:type="dxa"/>
              <w:bottom w:w="25" w:type="dxa"/>
              <w:left w:w="35" w:type="dxa"/>
              <w:right w:w="35" w:type="dxa"/>
            </w:tcMar>
            <w:shd w:fill="FFFFFF"/>
          </w:tcPr>
          <w:p>
            <w:pPr>
              <w:spacing w:before="0" w:after="0"/>
              <w:jc w:val="left"/>
            </w:pPr>
            <w:r>
              <w:rPr>
                <w:rFonts w:ascii="Times New Roman" w:hAnsi="Times New Roman"/>
                <w:sz w:val="15"/>
              </w:rPr>
              <w:t>[0, 1]</w:t>
            </w:r>
          </w:p>
        </w:tc>
        <w:tc>
          <w:tcPr>
            <w:tcW w:type="dxa" w:w="2448"/>
            <w:vAlign w:val="center"/>
            <w:tcMar>
              <w:top w:w="25" w:type="dxa"/>
              <w:bottom w:w="25" w:type="dxa"/>
              <w:left w:w="35" w:type="dxa"/>
              <w:right w:w="35" w:type="dxa"/>
            </w:tcMar>
            <w:shd w:fill="FFFFFF"/>
          </w:tcPr>
          <w:p>
            <w:pPr>
              <w:spacing w:before="0" w:after="0"/>
              <w:jc w:val="left"/>
            </w:pPr>
            <w:r>
              <w:rPr>
                <w:rFonts w:ascii="Times New Roman" w:hAnsi="Times New Roman"/>
                <w:sz w:val="15"/>
              </w:rPr>
              <w:t>Predicted posterior probability.</w:t>
            </w:r>
          </w:p>
        </w:tc>
      </w:tr>
      <w:tr>
        <w:tc>
          <w:tcPr>
            <w:tcW w:type="dxa" w:w="1152"/>
            <w:vAlign w:val="center"/>
            <w:tcMar>
              <w:top w:w="25" w:type="dxa"/>
              <w:bottom w:w="25" w:type="dxa"/>
              <w:left w:w="35" w:type="dxa"/>
              <w:right w:w="35" w:type="dxa"/>
            </w:tcMar>
            <w:shd w:fill="FFFFFF"/>
          </w:tcPr>
          <w:p>
            <w:pPr>
              <w:spacing w:before="0" w:after="0"/>
              <w:jc w:val="left"/>
            </w:pPr>
            <w:r>
              <w:rPr>
                <w:rFonts w:ascii="Times New Roman" w:hAnsi="Times New Roman"/>
                <w:b/>
                <w:sz w:val="15"/>
              </w:rPr>
              <w:t>tau</w:t>
            </w:r>
          </w:p>
        </w:tc>
        <w:tc>
          <w:tcPr>
            <w:tcW w:type="dxa" w:w="1440"/>
            <w:vAlign w:val="center"/>
            <w:tcMar>
              <w:top w:w="25" w:type="dxa"/>
              <w:bottom w:w="25" w:type="dxa"/>
              <w:left w:w="35" w:type="dxa"/>
              <w:right w:w="35" w:type="dxa"/>
            </w:tcMar>
            <w:shd w:fill="FFFFFF"/>
          </w:tcPr>
          <w:p>
            <w:pPr>
              <w:spacing w:before="0" w:after="0"/>
              <w:jc w:val="left"/>
            </w:pPr>
            <w:r>
              <w:rPr>
                <w:rFonts w:ascii="Times New Roman" w:hAnsi="Times New Roman"/>
                <w:sz w:val="15"/>
              </w:rPr>
              <w:t>[0, 1]</w:t>
            </w:r>
          </w:p>
        </w:tc>
        <w:tc>
          <w:tcPr>
            <w:tcW w:type="dxa" w:w="2448"/>
            <w:vAlign w:val="center"/>
            <w:tcMar>
              <w:top w:w="25" w:type="dxa"/>
              <w:bottom w:w="25" w:type="dxa"/>
              <w:left w:w="35" w:type="dxa"/>
              <w:right w:w="35" w:type="dxa"/>
            </w:tcMar>
            <w:shd w:fill="FFFFFF"/>
          </w:tcPr>
          <w:p>
            <w:pPr>
              <w:spacing w:before="0" w:after="0"/>
              <w:jc w:val="left"/>
            </w:pPr>
            <w:r>
              <w:rPr>
                <w:rFonts w:ascii="Times New Roman" w:hAnsi="Times New Roman"/>
                <w:sz w:val="15"/>
              </w:rPr>
              <w:t>Triage threshold (tau = 0.50).</w:t>
            </w:r>
          </w:p>
        </w:tc>
      </w:tr>
    </w:tbl>
    <w:p>
      <w:pPr>
        <w:keepNext/>
        <w:spacing w:before="120" w:after="40"/>
        <w:jc w:val="left"/>
      </w:pPr>
      <w:r>
        <w:rPr>
          <w:rFonts w:ascii="Times New Roman" w:hAnsi="Times New Roman"/>
          <w:b/>
          <w:i/>
          <w:color w:val="000000"/>
          <w:sz w:val="19"/>
        </w:rPr>
        <w:t>A. Step 1: Data Collection and Pediatric Cohort Acquisition</w:t>
      </w:r>
    </w:p>
    <w:p>
      <w:pPr>
        <w:spacing w:line="240" w:lineRule="auto" w:before="0" w:after="0"/>
        <w:ind w:firstLine="202"/>
        <w:jc w:val="both"/>
      </w:pPr>
      <w:r>
        <w:rPr>
          <w:rFonts w:ascii="Times New Roman" w:hAnsi="Times New Roman"/>
          <w:color w:val="000000"/>
          <w:sz w:val="19"/>
        </w:rPr>
        <w:t>The dataset incorporates standardized 2D facial color photographs I_raw acquired across pediatric clinical cohorts. The total repository comprises 5,772 photographic portraits (2,886 confirmed ASD cases and 2,886 typically developing controls) compiled from the Zenodo Multi-Center Autism Facial Repository (Record 15073612) and public clinical cohorts [4], [11]. Subjects span pediatric ages 2 to 12 years (mean 5.4 ± 2.1 years, 72% male, 28% female), reflecting the natural male-to-female epidemiological ratio in autism spectrum populations.</w:t>
      </w:r>
    </w:p>
    <w:p>
      <w:pPr>
        <w:keepNext/>
        <w:spacing w:before="120" w:after="40"/>
        <w:jc w:val="left"/>
      </w:pPr>
      <w:r>
        <w:rPr>
          <w:rFonts w:ascii="Times New Roman" w:hAnsi="Times New Roman"/>
          <w:b/>
          <w:i/>
          <w:color w:val="000000"/>
          <w:sz w:val="19"/>
        </w:rPr>
        <w:t>B. Step 2: Automated Face Preprocessing and Alignment</w:t>
      </w:r>
    </w:p>
    <w:p>
      <w:pPr>
        <w:spacing w:line="240" w:lineRule="auto" w:before="0" w:after="0"/>
        <w:ind w:firstLine="202"/>
        <w:jc w:val="both"/>
      </w:pPr>
      <w:r>
        <w:rPr>
          <w:rFonts w:ascii="Times New Roman" w:hAnsi="Times New Roman"/>
          <w:color w:val="000000"/>
          <w:sz w:val="19"/>
        </w:rPr>
        <w:t>Raw photographic images exhibit substantial variations in camera distance, head tilt, and background clutter. To ensure that downstream networks learn intrinsic craniofacial morphology rather than spurious background artifacts, we employ an automated multi-stage preprocessing pipeline:</w:t>
        <w:br/>
        <w:t>1) MTCNN Face Detection: We utilize Multi-Task Cascaded Convolutional Networks (MTCNN) [23] (P-Net, R-Net, O-Net) to accurately detect the facial bounding box B and five fiducial landmarks (ocular, nasal, and oral corners).</w:t>
        <w:br/>
        <w:t>2) In-Plane Rotational Alignment: Using detected ocular coordinates, the face rotation angle theta relative to the horizontal axis is computed:</w:t>
      </w:r>
    </w:p>
    <w:tbl>
      <w:tblPr>
        <w:tblW w:type="auto" w:w="0"/>
        <w:jc w:val="center"/>
        <w:tblLayout w:type="fixed"/>
        <w:tblLook w:firstColumn="1" w:firstRow="1" w:lastColumn="0" w:lastRow="0" w:noHBand="0" w:noVBand="1" w:val="04A0"/>
      </w:tblPr>
      <w:tblGrid>
        <w:gridCol w:w="4320"/>
        <w:gridCol w:w="648"/>
      </w:tblGrid>
      <w:tr>
        <w:tc>
          <w:tcPr>
            <w:tcW w:type="dxa" w:w="5220"/>
            <w:tcMar>
              <w:top w:w="20" w:type="dxa"/>
              <w:bottom w:w="20" w:type="dxa"/>
              <w:left w:w="20" w:type="dxa"/>
              <w:right w:w="20" w:type="dxa"/>
            </w:tcMar>
          </w:tcPr>
          <w:p>
            <w:pPr>
              <w:spacing w:before="0" w:after="0"/>
              <w:jc w:val="center"/>
            </w:pPr>
            <w:r>
              <w:rPr>
                <w:rFonts w:ascii="Times New Roman" w:hAnsi="Times New Roman"/>
                <w:i/>
                <w:sz w:val="18"/>
              </w:rPr>
              <w:t>theta = arctan((y_reye - y_leye) / (x_reye - x_leye))</w:t>
            </w:r>
          </w:p>
        </w:tc>
        <w:tc>
          <w:tcPr>
            <w:tcW w:type="dxa" w:w="5220"/>
            <w:tcMar>
              <w:top w:w="20" w:type="dxa"/>
              <w:bottom w:w="20" w:type="dxa"/>
              <w:left w:w="10" w:type="dxa"/>
              <w:right w:w="10" w:type="dxa"/>
            </w:tcMar>
          </w:tcPr>
          <w:p>
            <w:pPr>
              <w:spacing w:before="0" w:after="0"/>
              <w:jc w:val="right"/>
            </w:pPr>
            <w:r>
              <w:rPr>
                <w:rFonts w:ascii="Times New Roman" w:hAnsi="Times New Roman"/>
                <w:sz w:val="18"/>
              </w:rPr>
              <w:t>(1)</w:t>
            </w:r>
          </w:p>
        </w:tc>
      </w:tr>
    </w:tbl>
    <w:p>
      <w:pPr>
        <w:spacing w:line="240" w:lineRule="auto" w:before="0" w:after="0"/>
        <w:ind w:firstLine="202"/>
        <w:jc w:val="both"/>
      </w:pPr>
      <w:r>
        <w:rPr>
          <w:rFonts w:ascii="Times New Roman" w:hAnsi="Times New Roman"/>
          <w:color w:val="000000"/>
          <w:sz w:val="19"/>
        </w:rPr>
        <w:t>An affine rotation transform R(theta) aligns the inter-ocular axis horizontally.</w:t>
        <w:br/>
        <w:t>3) Standardized Cropping: Cropped with margin alpha = 0.15 and bilinearly scaled to I in R^{224 × 224 × 3}.</w:t>
        <w:br/>
        <w:t>4) Channel Normalization: Scaled to [0, 1] and normalized with ImageNet statistics:</w:t>
      </w:r>
    </w:p>
    <w:tbl>
      <w:tblPr>
        <w:tblW w:type="auto" w:w="0"/>
        <w:jc w:val="center"/>
        <w:tblLayout w:type="fixed"/>
        <w:tblLook w:firstColumn="1" w:firstRow="1" w:lastColumn="0" w:lastRow="0" w:noHBand="0" w:noVBand="1" w:val="04A0"/>
      </w:tblPr>
      <w:tblGrid>
        <w:gridCol w:w="4320"/>
        <w:gridCol w:w="648"/>
      </w:tblGrid>
      <w:tr>
        <w:tc>
          <w:tcPr>
            <w:tcW w:type="dxa" w:w="5220"/>
            <w:tcMar>
              <w:top w:w="20" w:type="dxa"/>
              <w:bottom w:w="20" w:type="dxa"/>
              <w:left w:w="20" w:type="dxa"/>
              <w:right w:w="20" w:type="dxa"/>
            </w:tcMar>
          </w:tcPr>
          <w:p>
            <w:pPr>
              <w:spacing w:before="0" w:after="0"/>
              <w:jc w:val="center"/>
            </w:pPr>
            <w:r>
              <w:rPr>
                <w:rFonts w:ascii="Times New Roman" w:hAnsi="Times New Roman"/>
                <w:i/>
                <w:sz w:val="18"/>
              </w:rPr>
              <w:t>I_hat_c(i, j) = (I_c(i, j) - mu_c) / sigma_c</w:t>
            </w:r>
          </w:p>
        </w:tc>
        <w:tc>
          <w:tcPr>
            <w:tcW w:type="dxa" w:w="5220"/>
            <w:tcMar>
              <w:top w:w="20" w:type="dxa"/>
              <w:bottom w:w="20" w:type="dxa"/>
              <w:left w:w="10" w:type="dxa"/>
              <w:right w:w="10" w:type="dxa"/>
            </w:tcMar>
          </w:tcPr>
          <w:p>
            <w:pPr>
              <w:spacing w:before="0" w:after="0"/>
              <w:jc w:val="right"/>
            </w:pPr>
            <w:r>
              <w:rPr>
                <w:rFonts w:ascii="Times New Roman" w:hAnsi="Times New Roman"/>
                <w:sz w:val="18"/>
              </w:rPr>
              <w:t>(2)</w:t>
            </w:r>
          </w:p>
        </w:tc>
      </w:tr>
    </w:tbl>
    <w:p>
      <w:pPr>
        <w:spacing w:line="240" w:lineRule="auto" w:before="0" w:after="0"/>
        <w:ind w:firstLine="202"/>
        <w:jc w:val="both"/>
      </w:pPr>
      <w:r>
        <w:rPr>
          <w:rFonts w:ascii="Times New Roman" w:hAnsi="Times New Roman"/>
          <w:color w:val="000000"/>
          <w:sz w:val="19"/>
        </w:rPr>
        <w:t>where mu = [0.485, 0.456, 0.406] and sigma = [0.229, 0.224, 0.225].</w:t>
        <w:br/>
        <w:t>5) Data Augmentation: Horizontal flips (p = 0.5), affine rotations (± 10°), scaling adjustments (± 8%), and brightness jitter (± 10%).</w:t>
      </w:r>
    </w:p>
    <w:p>
      <w:pPr>
        <w:keepNext/>
        <w:spacing w:before="120" w:after="40"/>
        <w:jc w:val="left"/>
      </w:pPr>
      <w:r>
        <w:rPr>
          <w:rFonts w:ascii="Times New Roman" w:hAnsi="Times New Roman"/>
          <w:b/>
          <w:i/>
          <w:color w:val="000000"/>
          <w:sz w:val="19"/>
        </w:rPr>
        <w:t>C. Step 3: Stratified Dataset Splitting</w:t>
      </w:r>
    </w:p>
    <w:p>
      <w:pPr>
        <w:spacing w:line="240" w:lineRule="auto" w:before="0" w:after="0"/>
        <w:ind w:firstLine="202"/>
        <w:jc w:val="both"/>
      </w:pPr>
      <w:r>
        <w:rPr>
          <w:rFonts w:ascii="Times New Roman" w:hAnsi="Times New Roman"/>
          <w:color w:val="000000"/>
          <w:sz w:val="19"/>
        </w:rPr>
        <w:t>The cohort (N = 5,772) is partitioned via stratified sampling into three mutually exclusive subsets preserving a 1:1 ASD-to-Control balance:</w:t>
        <w:br/>
        <w:t>• Training (70%, N = 4,040): 2,020 ASD and 2,020 Control images for gradient weight updates.</w:t>
        <w:br/>
        <w:t>• Validation (15%, N = 866): 433 ASD and 433 Control images for checkpointing and learning rate scheduling.</w:t>
        <w:br/>
        <w:t>• Test (15%, N = 866): 433 ASD and 433 Control images held out completely for unbiased clinical reporting.</w:t>
      </w:r>
    </w:p>
    <w:p>
      <w:pPr>
        <w:keepNext/>
        <w:spacing w:before="120" w:after="40"/>
        <w:jc w:val="left"/>
      </w:pPr>
      <w:r>
        <w:rPr>
          <w:rFonts w:ascii="Times New Roman" w:hAnsi="Times New Roman"/>
          <w:b/>
          <w:i/>
          <w:color w:val="000000"/>
          <w:sz w:val="19"/>
        </w:rPr>
        <w:t>D. Step 4: Model Training and Multi-Architecture CNN Benchmarking</w:t>
      </w:r>
    </w:p>
    <w:p>
      <w:pPr>
        <w:spacing w:line="240" w:lineRule="auto" w:before="0" w:after="0"/>
        <w:ind w:firstLine="202"/>
        <w:jc w:val="both"/>
      </w:pPr>
      <w:r>
        <w:rPr>
          <w:rFonts w:ascii="Times New Roman" w:hAnsi="Times New Roman"/>
          <w:color w:val="000000"/>
          <w:sz w:val="19"/>
        </w:rPr>
        <w:t>We systematically benchmark six deep CNN architectures under identical optimization protocols:</w:t>
        <w:br/>
        <w:t>1) ResNet-50 (Optimal Selected Backbone): A 50-layer deep residual network [24] structured with bottleneck residual blocks incorporating identity skip connections:</w:t>
      </w:r>
    </w:p>
    <w:tbl>
      <w:tblPr>
        <w:tblW w:type="auto" w:w="0"/>
        <w:jc w:val="center"/>
        <w:tblLayout w:type="fixed"/>
        <w:tblLook w:firstColumn="1" w:firstRow="1" w:lastColumn="0" w:lastRow="0" w:noHBand="0" w:noVBand="1" w:val="04A0"/>
      </w:tblPr>
      <w:tblGrid>
        <w:gridCol w:w="4320"/>
        <w:gridCol w:w="648"/>
      </w:tblGrid>
      <w:tr>
        <w:tc>
          <w:tcPr>
            <w:tcW w:type="dxa" w:w="5220"/>
            <w:tcMar>
              <w:top w:w="20" w:type="dxa"/>
              <w:bottom w:w="20" w:type="dxa"/>
              <w:left w:w="20" w:type="dxa"/>
              <w:right w:w="20" w:type="dxa"/>
            </w:tcMar>
          </w:tcPr>
          <w:p>
            <w:pPr>
              <w:spacing w:before="0" w:after="0"/>
              <w:jc w:val="center"/>
            </w:pPr>
            <w:r>
              <w:rPr>
                <w:rFonts w:ascii="Times New Roman" w:hAnsi="Times New Roman"/>
                <w:i/>
                <w:sz w:val="18"/>
              </w:rPr>
              <w:t>y = F(x, {W_i}) + x</w:t>
            </w:r>
          </w:p>
        </w:tc>
        <w:tc>
          <w:tcPr>
            <w:tcW w:type="dxa" w:w="5220"/>
            <w:tcMar>
              <w:top w:w="20" w:type="dxa"/>
              <w:bottom w:w="20" w:type="dxa"/>
              <w:left w:w="10" w:type="dxa"/>
              <w:right w:w="10" w:type="dxa"/>
            </w:tcMar>
          </w:tcPr>
          <w:p>
            <w:pPr>
              <w:spacing w:before="0" w:after="0"/>
              <w:jc w:val="right"/>
            </w:pPr>
            <w:r>
              <w:rPr>
                <w:rFonts w:ascii="Times New Roman" w:hAnsi="Times New Roman"/>
                <w:sz w:val="18"/>
              </w:rPr>
              <w:t>(3)</w:t>
            </w:r>
          </w:p>
        </w:tc>
      </w:tr>
    </w:tbl>
    <w:p>
      <w:pPr>
        <w:spacing w:line="240" w:lineRule="auto" w:before="0" w:after="0"/>
        <w:ind w:firstLine="202"/>
        <w:jc w:val="both"/>
      </w:pPr>
      <w:r>
        <w:rPr>
          <w:rFonts w:ascii="Times New Roman" w:hAnsi="Times New Roman"/>
          <w:color w:val="000000"/>
          <w:sz w:val="19"/>
        </w:rPr>
        <w:t>2) ResNet-34: A 34-layer residual network [24] with standard 2-layer residual blocks.</w:t>
        <w:br/>
        <w:t>3) VGG-19 &amp; VGG-16: Sequential feedforward networks [25] with 3×3 convolutions (143.6M and 138.4M parameters).</w:t>
        <w:br/>
        <w:t>4) MobileNet-V2: Lightweight network [26] with inverted residuals and depthwise separable convolutions (3.5M parameters).</w:t>
        <w:br/>
        <w:t>5) AlexNet: Classic 8-layer deep convolutional baseline [27].</w:t>
      </w:r>
    </w:p>
    <w:p>
      <w:pPr>
        <w:spacing w:line="240" w:lineRule="auto" w:before="0" w:after="0"/>
        <w:ind w:firstLine="202"/>
        <w:jc w:val="both"/>
      </w:pPr>
      <w:r>
        <w:rPr>
          <w:rFonts w:ascii="Times New Roman" w:hAnsi="Times New Roman"/>
          <w:color w:val="000000"/>
          <w:sz w:val="19"/>
        </w:rPr>
        <w:t>Backbones were initialized with ImageNet weights and coupled to a Global Average Pooling layer, Dropout (p = 0.40), and linear head. Trained via AdamW [28] (eta = 10^-3, lambda = 10^-4) over 150 epochs with cosine annealing schedule minimizing binary cross-entropy:</w:t>
      </w:r>
    </w:p>
    <w:tbl>
      <w:tblPr>
        <w:tblW w:type="auto" w:w="0"/>
        <w:jc w:val="center"/>
        <w:tblLayout w:type="fixed"/>
        <w:tblLook w:firstColumn="1" w:firstRow="1" w:lastColumn="0" w:lastRow="0" w:noHBand="0" w:noVBand="1" w:val="04A0"/>
      </w:tblPr>
      <w:tblGrid>
        <w:gridCol w:w="4320"/>
        <w:gridCol w:w="648"/>
      </w:tblGrid>
      <w:tr>
        <w:tc>
          <w:tcPr>
            <w:tcW w:type="dxa" w:w="5220"/>
            <w:tcMar>
              <w:top w:w="20" w:type="dxa"/>
              <w:bottom w:w="20" w:type="dxa"/>
              <w:left w:w="20" w:type="dxa"/>
              <w:right w:w="20" w:type="dxa"/>
            </w:tcMar>
          </w:tcPr>
          <w:p>
            <w:pPr>
              <w:spacing w:before="0" w:after="0"/>
              <w:jc w:val="center"/>
            </w:pPr>
            <w:r>
              <w:rPr>
                <w:rFonts w:ascii="Times New Roman" w:hAnsi="Times New Roman"/>
                <w:i/>
                <w:sz w:val="18"/>
              </w:rPr>
              <w:t>L_CE = - (1/B) sum [y log(y_hat) + (1-y) log(1-y_hat)] + lambda ||W||_2^2</w:t>
            </w:r>
          </w:p>
        </w:tc>
        <w:tc>
          <w:tcPr>
            <w:tcW w:type="dxa" w:w="5220"/>
            <w:tcMar>
              <w:top w:w="20" w:type="dxa"/>
              <w:bottom w:w="20" w:type="dxa"/>
              <w:left w:w="10" w:type="dxa"/>
              <w:right w:w="10" w:type="dxa"/>
            </w:tcMar>
          </w:tcPr>
          <w:p>
            <w:pPr>
              <w:spacing w:before="0" w:after="0"/>
              <w:jc w:val="right"/>
            </w:pPr>
            <w:r>
              <w:rPr>
                <w:rFonts w:ascii="Times New Roman" w:hAnsi="Times New Roman"/>
                <w:sz w:val="18"/>
              </w:rPr>
              <w:t>(4)</w:t>
            </w:r>
          </w:p>
        </w:tc>
      </w:tr>
    </w:tbl>
    <w:p>
      <w:pPr>
        <w:keepNext/>
        <w:spacing w:before="120" w:after="40"/>
        <w:jc w:val="left"/>
      </w:pPr>
      <w:r>
        <w:rPr>
          <w:rFonts w:ascii="Times New Roman" w:hAnsi="Times New Roman"/>
          <w:b/>
          <w:i/>
          <w:color w:val="000000"/>
          <w:sz w:val="19"/>
        </w:rPr>
        <w:t>E. Step 5: Clinical Diagnostic Evaluation and Decision Head</w:t>
      </w:r>
    </w:p>
    <w:p>
      <w:pPr>
        <w:spacing w:line="240" w:lineRule="auto" w:before="0" w:after="0"/>
        <w:ind w:firstLine="202"/>
        <w:jc w:val="both"/>
      </w:pPr>
      <w:r>
        <w:rPr>
          <w:rFonts w:ascii="Times New Roman" w:hAnsi="Times New Roman"/>
          <w:color w:val="000000"/>
          <w:sz w:val="19"/>
        </w:rPr>
        <w:t>The model outputs posterior probability y_hat = P(ASD|I) in [0, 1]. A clinical triage boundary tau = 0.50 classifies the subject:</w:t>
        <w:br/>
        <w:t>Prediction = ASD if y_hat &gt;= 0.50 else Control.</w:t>
        <w:br/>
        <w:t>Evaluated via Accuracy, Sensitivity, Specificity, Precision, F1-Score, and AUROC across discrimination thresholds.</w:t>
      </w:r>
    </w:p>
    <w:p>
      <w:pPr>
        <w:keepNext/>
        <w:spacing w:before="160" w:after="60"/>
        <w:jc w:val="center"/>
      </w:pPr>
      <w:r>
        <w:rPr>
          <w:rFonts w:ascii="Times New Roman" w:hAnsi="Times New Roman"/>
          <w:b/>
          <w:color w:val="000000"/>
          <w:sz w:val="20"/>
        </w:rPr>
        <w:t>IV.  EXPERIMENTAL RESULTS</w:t>
      </w:r>
    </w:p>
    <w:p>
      <w:pPr>
        <w:keepNext/>
        <w:spacing w:before="120" w:after="40"/>
        <w:jc w:val="left"/>
      </w:pPr>
      <w:r>
        <w:rPr>
          <w:rFonts w:ascii="Times New Roman" w:hAnsi="Times New Roman"/>
          <w:b/>
          <w:i/>
          <w:color w:val="000000"/>
          <w:sz w:val="19"/>
        </w:rPr>
        <w:t>A. Experimental Setup and Hardware Implementation</w:t>
      </w:r>
    </w:p>
    <w:p>
      <w:pPr>
        <w:spacing w:line="240" w:lineRule="auto" w:before="0" w:after="0"/>
        <w:ind w:firstLine="202"/>
        <w:jc w:val="both"/>
      </w:pPr>
      <w:r>
        <w:rPr>
          <w:rFonts w:ascii="Times New Roman" w:hAnsi="Times New Roman"/>
          <w:color w:val="000000"/>
          <w:sz w:val="19"/>
        </w:rPr>
        <w:t>Implemented in PyTorch 2.2 with CUDA 12.1 acceleration on an AMD Ryzen 7 5800HS processor (16 virtual cores), NVIDIA GeForce RTX 3060 GPU (6 GB VRAM), and 16 GB RAM under Windows 11. Training each architecture required approximately 35–55 minutes.</w:t>
      </w:r>
    </w:p>
    <w:p>
      <w:pPr>
        <w:keepNext/>
        <w:spacing w:before="120" w:after="40"/>
        <w:jc w:val="left"/>
      </w:pPr>
      <w:r>
        <w:rPr>
          <w:rFonts w:ascii="Times New Roman" w:hAnsi="Times New Roman"/>
          <w:b/>
          <w:i/>
          <w:color w:val="000000"/>
          <w:sz w:val="19"/>
        </w:rPr>
        <w:t>B. Multi-Architecture CNN Benchmark Performance</w:t>
      </w:r>
    </w:p>
    <w:p>
      <w:pPr>
        <w:spacing w:line="240" w:lineRule="auto" w:before="0" w:after="0"/>
        <w:ind w:firstLine="202"/>
        <w:jc w:val="both"/>
      </w:pPr>
      <w:r>
        <w:rPr>
          <w:rFonts w:ascii="Times New Roman" w:hAnsi="Times New Roman"/>
          <w:color w:val="000000"/>
          <w:sz w:val="19"/>
        </w:rPr>
        <w:t>Table III presents the comprehensive comparative evaluation of all six candidate deep CNN backbones evaluated on the independent test partition (N = 866).</w:t>
      </w:r>
    </w:p>
    <w:p>
      <w:pPr>
        <w:sectPr>
          <w:type w:val="continuous"/>
          <w:pgSz w:w="12240" w:h="15840"/>
          <w:pgMar w:top="1080" w:right="900" w:bottom="1440" w:left="900" w:header="720" w:footer="720" w:gutter="0"/>
          <w:cols w:space="360" w:num="2"/>
          <w:docGrid w:linePitch="360"/>
        </w:sectPr>
      </w:pPr>
    </w:p>
    <w:p>
      <w:pPr>
        <w:spacing w:before="80" w:after="40"/>
        <w:jc w:val="center"/>
      </w:pPr>
      <w:r>
        <w:rPr>
          <w:rFonts w:ascii="Times New Roman" w:hAnsi="Times New Roman"/>
          <w:b/>
          <w:sz w:val="17"/>
        </w:rPr>
        <w:t>TABLE III</w:t>
        <w:br/>
      </w:r>
      <w:r>
        <w:rPr>
          <w:rFonts w:ascii="Times New Roman" w:hAnsi="Times New Roman"/>
          <w:b/>
          <w:sz w:val="16"/>
        </w:rPr>
        <w:t>COMPREHENSIVE PERFORMANCE BENCHMARK OF SIX CANDIDATE DEEP CNN ARCHITECTURES (TEST N=866)</w:t>
      </w:r>
    </w:p>
    <w:tbl>
      <w:tblPr>
        <w:tblW w:type="auto" w:w="0"/>
        <w:jc w:val="center"/>
        <w:tblLayout w:type="fixed"/>
        <w:tblLook w:firstColumn="1" w:firstRow="1" w:lastColumn="0" w:lastRow="0" w:noHBand="0" w:noVBand="1" w:val="04A0"/>
        <w:tblBorders>
          <w:top w:val="single" w:sz="12" w:space="0" w:color="000000"/>
          <w:bottom w:val="single" w:sz="12" w:space="0" w:color="000000"/>
          <w:insideH w:val="single" w:sz="4" w:space="0" w:color="64748B"/>
          <w:insideV w:val="none"/>
          <w:left w:val="none"/>
          <w:right w:val="none"/>
        </w:tblBorders>
      </w:tblPr>
      <w:tblGrid>
        <w:gridCol w:w="1160"/>
        <w:gridCol w:w="1160"/>
        <w:gridCol w:w="1160"/>
        <w:gridCol w:w="1160"/>
        <w:gridCol w:w="1160"/>
        <w:gridCol w:w="1160"/>
        <w:gridCol w:w="1160"/>
        <w:gridCol w:w="1160"/>
        <w:gridCol w:w="1160"/>
      </w:tblGrid>
      <w:tr>
        <w:tc>
          <w:tcPr>
            <w:tcW w:type="dxa" w:w="1872"/>
            <w:vAlign w:val="center"/>
            <w:tcMar>
              <w:top w:w="30" w:type="dxa"/>
              <w:bottom w:w="30" w:type="dxa"/>
              <w:left w:w="30" w:type="dxa"/>
              <w:right w:w="30" w:type="dxa"/>
            </w:tcMar>
            <w:shd w:fill="F1F5F9"/>
          </w:tcPr>
          <w:p>
            <w:pPr>
              <w:spacing w:before="0" w:after="0"/>
              <w:jc w:val="left"/>
            </w:pPr>
            <w:r>
              <w:rPr>
                <w:rFonts w:ascii="Times New Roman" w:hAnsi="Times New Roman"/>
                <w:b/>
                <w:sz w:val="15"/>
              </w:rPr>
              <w:t>Architecture</w:t>
            </w:r>
          </w:p>
        </w:tc>
        <w:tc>
          <w:tcPr>
            <w:tcW w:type="dxa" w:w="1066"/>
            <w:vAlign w:val="center"/>
            <w:tcMar>
              <w:top w:w="30" w:type="dxa"/>
              <w:bottom w:w="30" w:type="dxa"/>
              <w:left w:w="30" w:type="dxa"/>
              <w:right w:w="30" w:type="dxa"/>
            </w:tcMar>
            <w:shd w:fill="F1F5F9"/>
          </w:tcPr>
          <w:p>
            <w:pPr>
              <w:spacing w:before="0" w:after="0"/>
              <w:jc w:val="center"/>
            </w:pPr>
            <w:r>
              <w:rPr>
                <w:rFonts w:ascii="Times New Roman" w:hAnsi="Times New Roman"/>
                <w:b/>
                <w:sz w:val="15"/>
              </w:rPr>
              <w:t>Accuracy (%)</w:t>
            </w:r>
          </w:p>
        </w:tc>
        <w:tc>
          <w:tcPr>
            <w:tcW w:type="dxa" w:w="1066"/>
            <w:vAlign w:val="center"/>
            <w:tcMar>
              <w:top w:w="30" w:type="dxa"/>
              <w:bottom w:w="30" w:type="dxa"/>
              <w:left w:w="30" w:type="dxa"/>
              <w:right w:w="30" w:type="dxa"/>
            </w:tcMar>
            <w:shd w:fill="F1F5F9"/>
          </w:tcPr>
          <w:p>
            <w:pPr>
              <w:spacing w:before="0" w:after="0"/>
              <w:jc w:val="center"/>
            </w:pPr>
            <w:r>
              <w:rPr>
                <w:rFonts w:ascii="Times New Roman" w:hAnsi="Times New Roman"/>
                <w:b/>
                <w:sz w:val="15"/>
              </w:rPr>
              <w:t>AUROC (%)</w:t>
            </w:r>
          </w:p>
        </w:tc>
        <w:tc>
          <w:tcPr>
            <w:tcW w:type="dxa" w:w="1066"/>
            <w:vAlign w:val="center"/>
            <w:tcMar>
              <w:top w:w="30" w:type="dxa"/>
              <w:bottom w:w="30" w:type="dxa"/>
              <w:left w:w="30" w:type="dxa"/>
              <w:right w:w="30" w:type="dxa"/>
            </w:tcMar>
            <w:shd w:fill="F1F5F9"/>
          </w:tcPr>
          <w:p>
            <w:pPr>
              <w:spacing w:before="0" w:after="0"/>
              <w:jc w:val="center"/>
            </w:pPr>
            <w:r>
              <w:rPr>
                <w:rFonts w:ascii="Times New Roman" w:hAnsi="Times New Roman"/>
                <w:b/>
                <w:sz w:val="15"/>
              </w:rPr>
              <w:t>Precision (%)</w:t>
            </w:r>
          </w:p>
        </w:tc>
        <w:tc>
          <w:tcPr>
            <w:tcW w:type="dxa" w:w="1066"/>
            <w:vAlign w:val="center"/>
            <w:tcMar>
              <w:top w:w="30" w:type="dxa"/>
              <w:bottom w:w="30" w:type="dxa"/>
              <w:left w:w="30" w:type="dxa"/>
              <w:right w:w="30" w:type="dxa"/>
            </w:tcMar>
            <w:shd w:fill="F1F5F9"/>
          </w:tcPr>
          <w:p>
            <w:pPr>
              <w:spacing w:before="0" w:after="0"/>
              <w:jc w:val="center"/>
            </w:pPr>
            <w:r>
              <w:rPr>
                <w:rFonts w:ascii="Times New Roman" w:hAnsi="Times New Roman"/>
                <w:b/>
                <w:sz w:val="15"/>
              </w:rPr>
              <w:t>Sensitivity (%)</w:t>
            </w:r>
          </w:p>
        </w:tc>
        <w:tc>
          <w:tcPr>
            <w:tcW w:type="dxa" w:w="1066"/>
            <w:vAlign w:val="center"/>
            <w:tcMar>
              <w:top w:w="30" w:type="dxa"/>
              <w:bottom w:w="30" w:type="dxa"/>
              <w:left w:w="30" w:type="dxa"/>
              <w:right w:w="30" w:type="dxa"/>
            </w:tcMar>
            <w:shd w:fill="F1F5F9"/>
          </w:tcPr>
          <w:p>
            <w:pPr>
              <w:spacing w:before="0" w:after="0"/>
              <w:jc w:val="center"/>
            </w:pPr>
            <w:r>
              <w:rPr>
                <w:rFonts w:ascii="Times New Roman" w:hAnsi="Times New Roman"/>
                <w:b/>
                <w:sz w:val="15"/>
              </w:rPr>
              <w:t>Specificity (%)</w:t>
            </w:r>
          </w:p>
        </w:tc>
        <w:tc>
          <w:tcPr>
            <w:tcW w:type="dxa" w:w="1066"/>
            <w:vAlign w:val="center"/>
            <w:tcMar>
              <w:top w:w="30" w:type="dxa"/>
              <w:bottom w:w="30" w:type="dxa"/>
              <w:left w:w="30" w:type="dxa"/>
              <w:right w:w="30" w:type="dxa"/>
            </w:tcMar>
            <w:shd w:fill="F1F5F9"/>
          </w:tcPr>
          <w:p>
            <w:pPr>
              <w:spacing w:before="0" w:after="0"/>
              <w:jc w:val="center"/>
            </w:pPr>
            <w:r>
              <w:rPr>
                <w:rFonts w:ascii="Times New Roman" w:hAnsi="Times New Roman"/>
                <w:b/>
                <w:sz w:val="15"/>
              </w:rPr>
              <w:t>F1-Score (%)</w:t>
            </w:r>
          </w:p>
        </w:tc>
        <w:tc>
          <w:tcPr>
            <w:tcW w:type="dxa" w:w="1008"/>
            <w:vAlign w:val="center"/>
            <w:tcMar>
              <w:top w:w="30" w:type="dxa"/>
              <w:bottom w:w="30" w:type="dxa"/>
              <w:left w:w="30" w:type="dxa"/>
              <w:right w:w="30" w:type="dxa"/>
            </w:tcMar>
            <w:shd w:fill="F1F5F9"/>
          </w:tcPr>
          <w:p>
            <w:pPr>
              <w:spacing w:before="0" w:after="0"/>
              <w:jc w:val="center"/>
            </w:pPr>
            <w:r>
              <w:rPr>
                <w:rFonts w:ascii="Times New Roman" w:hAnsi="Times New Roman"/>
                <w:b/>
                <w:sz w:val="15"/>
              </w:rPr>
              <w:t>Params (M)</w:t>
            </w:r>
          </w:p>
        </w:tc>
        <w:tc>
          <w:tcPr>
            <w:tcW w:type="dxa" w:w="1080"/>
            <w:vAlign w:val="center"/>
            <w:tcMar>
              <w:top w:w="30" w:type="dxa"/>
              <w:bottom w:w="30" w:type="dxa"/>
              <w:left w:w="30" w:type="dxa"/>
              <w:right w:w="30" w:type="dxa"/>
            </w:tcMar>
            <w:shd w:fill="F1F5F9"/>
          </w:tcPr>
          <w:p>
            <w:pPr>
              <w:spacing w:before="0" w:after="0"/>
              <w:jc w:val="center"/>
            </w:pPr>
            <w:r>
              <w:rPr>
                <w:rFonts w:ascii="Times New Roman" w:hAnsi="Times New Roman"/>
                <w:b/>
                <w:sz w:val="15"/>
              </w:rPr>
              <w:t>Latency (ms)</w:t>
            </w:r>
          </w:p>
        </w:tc>
      </w:tr>
      <w:tr>
        <w:tc>
          <w:tcPr>
            <w:tcW w:type="dxa" w:w="1872"/>
            <w:vAlign w:val="center"/>
            <w:tcMar>
              <w:top w:w="30" w:type="dxa"/>
              <w:bottom w:w="30" w:type="dxa"/>
              <w:left w:w="30" w:type="dxa"/>
              <w:right w:w="30" w:type="dxa"/>
            </w:tcMar>
            <w:shd w:fill="FFFFFF"/>
          </w:tcPr>
          <w:p>
            <w:pPr>
              <w:spacing w:before="0" w:after="0"/>
              <w:jc w:val="left"/>
            </w:pPr>
            <w:r>
              <w:rPr>
                <w:rFonts w:ascii="Times New Roman" w:hAnsi="Times New Roman"/>
                <w:sz w:val="15"/>
              </w:rPr>
              <w:t>AlexNet [27]</w:t>
            </w:r>
          </w:p>
        </w:tc>
        <w:tc>
          <w:tcPr>
            <w:tcW w:type="dxa" w:w="1066"/>
            <w:vAlign w:val="center"/>
            <w:tcMar>
              <w:top w:w="30" w:type="dxa"/>
              <w:bottom w:w="30" w:type="dxa"/>
              <w:left w:w="30" w:type="dxa"/>
              <w:right w:w="30" w:type="dxa"/>
            </w:tcMar>
            <w:shd w:fill="FFFFFF"/>
          </w:tcPr>
          <w:p>
            <w:pPr>
              <w:spacing w:before="0" w:after="0"/>
              <w:jc w:val="center"/>
            </w:pPr>
            <w:r>
              <w:rPr>
                <w:rFonts w:ascii="Times New Roman" w:hAnsi="Times New Roman"/>
                <w:sz w:val="15"/>
              </w:rPr>
              <w:t>74.1 ± 0.8</w:t>
            </w:r>
          </w:p>
        </w:tc>
        <w:tc>
          <w:tcPr>
            <w:tcW w:type="dxa" w:w="1066"/>
            <w:vAlign w:val="center"/>
            <w:tcMar>
              <w:top w:w="30" w:type="dxa"/>
              <w:bottom w:w="30" w:type="dxa"/>
              <w:left w:w="30" w:type="dxa"/>
              <w:right w:w="30" w:type="dxa"/>
            </w:tcMar>
            <w:shd w:fill="FFFFFF"/>
          </w:tcPr>
          <w:p>
            <w:pPr>
              <w:spacing w:before="0" w:after="0"/>
              <w:jc w:val="center"/>
            </w:pPr>
            <w:r>
              <w:rPr>
                <w:rFonts w:ascii="Times New Roman" w:hAnsi="Times New Roman"/>
                <w:sz w:val="15"/>
              </w:rPr>
              <w:t>80.2 ± 0.7</w:t>
            </w:r>
          </w:p>
        </w:tc>
        <w:tc>
          <w:tcPr>
            <w:tcW w:type="dxa" w:w="1066"/>
            <w:vAlign w:val="center"/>
            <w:tcMar>
              <w:top w:w="30" w:type="dxa"/>
              <w:bottom w:w="30" w:type="dxa"/>
              <w:left w:w="30" w:type="dxa"/>
              <w:right w:w="30" w:type="dxa"/>
            </w:tcMar>
            <w:shd w:fill="FFFFFF"/>
          </w:tcPr>
          <w:p>
            <w:pPr>
              <w:spacing w:before="0" w:after="0"/>
              <w:jc w:val="center"/>
            </w:pPr>
            <w:r>
              <w:rPr>
                <w:rFonts w:ascii="Times New Roman" w:hAnsi="Times New Roman"/>
                <w:sz w:val="15"/>
              </w:rPr>
              <w:t>73.5 ± 0.9</w:t>
            </w:r>
          </w:p>
        </w:tc>
        <w:tc>
          <w:tcPr>
            <w:tcW w:type="dxa" w:w="1066"/>
            <w:vAlign w:val="center"/>
            <w:tcMar>
              <w:top w:w="30" w:type="dxa"/>
              <w:bottom w:w="30" w:type="dxa"/>
              <w:left w:w="30" w:type="dxa"/>
              <w:right w:w="30" w:type="dxa"/>
            </w:tcMar>
            <w:shd w:fill="FFFFFF"/>
          </w:tcPr>
          <w:p>
            <w:pPr>
              <w:spacing w:before="0" w:after="0"/>
              <w:jc w:val="center"/>
            </w:pPr>
            <w:r>
              <w:rPr>
                <w:rFonts w:ascii="Times New Roman" w:hAnsi="Times New Roman"/>
                <w:sz w:val="15"/>
              </w:rPr>
              <w:t>75.3 ± 1.1</w:t>
            </w:r>
          </w:p>
        </w:tc>
        <w:tc>
          <w:tcPr>
            <w:tcW w:type="dxa" w:w="1066"/>
            <w:vAlign w:val="center"/>
            <w:tcMar>
              <w:top w:w="30" w:type="dxa"/>
              <w:bottom w:w="30" w:type="dxa"/>
              <w:left w:w="30" w:type="dxa"/>
              <w:right w:w="30" w:type="dxa"/>
            </w:tcMar>
            <w:shd w:fill="FFFFFF"/>
          </w:tcPr>
          <w:p>
            <w:pPr>
              <w:spacing w:before="0" w:after="0"/>
              <w:jc w:val="center"/>
            </w:pPr>
            <w:r>
              <w:rPr>
                <w:rFonts w:ascii="Times New Roman" w:hAnsi="Times New Roman"/>
                <w:sz w:val="15"/>
              </w:rPr>
              <w:t>72.9 ± 1.0</w:t>
            </w:r>
          </w:p>
        </w:tc>
        <w:tc>
          <w:tcPr>
            <w:tcW w:type="dxa" w:w="1066"/>
            <w:vAlign w:val="center"/>
            <w:tcMar>
              <w:top w:w="30" w:type="dxa"/>
              <w:bottom w:w="30" w:type="dxa"/>
              <w:left w:w="30" w:type="dxa"/>
              <w:right w:w="30" w:type="dxa"/>
            </w:tcMar>
            <w:shd w:fill="FFFFFF"/>
          </w:tcPr>
          <w:p>
            <w:pPr>
              <w:spacing w:before="0" w:after="0"/>
              <w:jc w:val="center"/>
            </w:pPr>
            <w:r>
              <w:rPr>
                <w:rFonts w:ascii="Times New Roman" w:hAnsi="Times New Roman"/>
                <w:sz w:val="15"/>
              </w:rPr>
              <w:t>74.4 ± 0.8</w:t>
            </w:r>
          </w:p>
        </w:tc>
        <w:tc>
          <w:tcPr>
            <w:tcW w:type="dxa" w:w="1008"/>
            <w:vAlign w:val="center"/>
            <w:tcMar>
              <w:top w:w="30" w:type="dxa"/>
              <w:bottom w:w="30" w:type="dxa"/>
              <w:left w:w="30" w:type="dxa"/>
              <w:right w:w="30" w:type="dxa"/>
            </w:tcMar>
            <w:shd w:fill="FFFFFF"/>
          </w:tcPr>
          <w:p>
            <w:pPr>
              <w:spacing w:before="0" w:after="0"/>
              <w:jc w:val="center"/>
            </w:pPr>
            <w:r>
              <w:rPr>
                <w:rFonts w:ascii="Times New Roman" w:hAnsi="Times New Roman"/>
                <w:sz w:val="15"/>
              </w:rPr>
              <w:t>61.1</w:t>
            </w:r>
          </w:p>
        </w:tc>
        <w:tc>
          <w:tcPr>
            <w:tcW w:type="dxa" w:w="1080"/>
            <w:vAlign w:val="center"/>
            <w:tcMar>
              <w:top w:w="30" w:type="dxa"/>
              <w:bottom w:w="30" w:type="dxa"/>
              <w:left w:w="30" w:type="dxa"/>
              <w:right w:w="30" w:type="dxa"/>
            </w:tcMar>
            <w:shd w:fill="FFFFFF"/>
          </w:tcPr>
          <w:p>
            <w:pPr>
              <w:spacing w:before="0" w:after="0"/>
              <w:jc w:val="center"/>
            </w:pPr>
            <w:r>
              <w:rPr>
                <w:rFonts w:ascii="Times New Roman" w:hAnsi="Times New Roman"/>
                <w:sz w:val="15"/>
              </w:rPr>
              <w:t>38 ms</w:t>
            </w:r>
          </w:p>
        </w:tc>
      </w:tr>
      <w:tr>
        <w:tc>
          <w:tcPr>
            <w:tcW w:type="dxa" w:w="1872"/>
            <w:vAlign w:val="center"/>
            <w:tcMar>
              <w:top w:w="30" w:type="dxa"/>
              <w:bottom w:w="30" w:type="dxa"/>
              <w:left w:w="30" w:type="dxa"/>
              <w:right w:w="30" w:type="dxa"/>
            </w:tcMar>
            <w:shd w:fill="FFFFFF"/>
          </w:tcPr>
          <w:p>
            <w:pPr>
              <w:spacing w:before="0" w:after="0"/>
              <w:jc w:val="left"/>
            </w:pPr>
            <w:r>
              <w:rPr>
                <w:rFonts w:ascii="Times New Roman" w:hAnsi="Times New Roman"/>
                <w:sz w:val="15"/>
              </w:rPr>
              <w:t>MobileNet-V2 [26]</w:t>
            </w:r>
          </w:p>
        </w:tc>
        <w:tc>
          <w:tcPr>
            <w:tcW w:type="dxa" w:w="1066"/>
            <w:vAlign w:val="center"/>
            <w:tcMar>
              <w:top w:w="30" w:type="dxa"/>
              <w:bottom w:w="30" w:type="dxa"/>
              <w:left w:w="30" w:type="dxa"/>
              <w:right w:w="30" w:type="dxa"/>
            </w:tcMar>
            <w:shd w:fill="FFFFFF"/>
          </w:tcPr>
          <w:p>
            <w:pPr>
              <w:spacing w:before="0" w:after="0"/>
              <w:jc w:val="center"/>
            </w:pPr>
            <w:r>
              <w:rPr>
                <w:rFonts w:ascii="Times New Roman" w:hAnsi="Times New Roman"/>
                <w:sz w:val="15"/>
              </w:rPr>
              <w:t>76.4 ± 0.7</w:t>
            </w:r>
          </w:p>
        </w:tc>
        <w:tc>
          <w:tcPr>
            <w:tcW w:type="dxa" w:w="1066"/>
            <w:vAlign w:val="center"/>
            <w:tcMar>
              <w:top w:w="30" w:type="dxa"/>
              <w:bottom w:w="30" w:type="dxa"/>
              <w:left w:w="30" w:type="dxa"/>
              <w:right w:w="30" w:type="dxa"/>
            </w:tcMar>
            <w:shd w:fill="FFFFFF"/>
          </w:tcPr>
          <w:p>
            <w:pPr>
              <w:spacing w:before="0" w:after="0"/>
              <w:jc w:val="center"/>
            </w:pPr>
            <w:r>
              <w:rPr>
                <w:rFonts w:ascii="Times New Roman" w:hAnsi="Times New Roman"/>
                <w:sz w:val="15"/>
              </w:rPr>
              <w:t>82.5 ± 0.6</w:t>
            </w:r>
          </w:p>
        </w:tc>
        <w:tc>
          <w:tcPr>
            <w:tcW w:type="dxa" w:w="1066"/>
            <w:vAlign w:val="center"/>
            <w:tcMar>
              <w:top w:w="30" w:type="dxa"/>
              <w:bottom w:w="30" w:type="dxa"/>
              <w:left w:w="30" w:type="dxa"/>
              <w:right w:w="30" w:type="dxa"/>
            </w:tcMar>
            <w:shd w:fill="FFFFFF"/>
          </w:tcPr>
          <w:p>
            <w:pPr>
              <w:spacing w:before="0" w:after="0"/>
              <w:jc w:val="center"/>
            </w:pPr>
            <w:r>
              <w:rPr>
                <w:rFonts w:ascii="Times New Roman" w:hAnsi="Times New Roman"/>
                <w:sz w:val="15"/>
              </w:rPr>
              <w:t>75.8 ± 0.8</w:t>
            </w:r>
          </w:p>
        </w:tc>
        <w:tc>
          <w:tcPr>
            <w:tcW w:type="dxa" w:w="1066"/>
            <w:vAlign w:val="center"/>
            <w:tcMar>
              <w:top w:w="30" w:type="dxa"/>
              <w:bottom w:w="30" w:type="dxa"/>
              <w:left w:w="30" w:type="dxa"/>
              <w:right w:w="30" w:type="dxa"/>
            </w:tcMar>
            <w:shd w:fill="FFFFFF"/>
          </w:tcPr>
          <w:p>
            <w:pPr>
              <w:spacing w:before="0" w:after="0"/>
              <w:jc w:val="center"/>
            </w:pPr>
            <w:r>
              <w:rPr>
                <w:rFonts w:ascii="Times New Roman" w:hAnsi="Times New Roman"/>
                <w:sz w:val="15"/>
              </w:rPr>
              <w:t>77.6 ± 0.9</w:t>
            </w:r>
          </w:p>
        </w:tc>
        <w:tc>
          <w:tcPr>
            <w:tcW w:type="dxa" w:w="1066"/>
            <w:vAlign w:val="center"/>
            <w:tcMar>
              <w:top w:w="30" w:type="dxa"/>
              <w:bottom w:w="30" w:type="dxa"/>
              <w:left w:w="30" w:type="dxa"/>
              <w:right w:w="30" w:type="dxa"/>
            </w:tcMar>
            <w:shd w:fill="FFFFFF"/>
          </w:tcPr>
          <w:p>
            <w:pPr>
              <w:spacing w:before="0" w:after="0"/>
              <w:jc w:val="center"/>
            </w:pPr>
            <w:r>
              <w:rPr>
                <w:rFonts w:ascii="Times New Roman" w:hAnsi="Times New Roman"/>
                <w:sz w:val="15"/>
              </w:rPr>
              <w:t>75.2 ± 0.8</w:t>
            </w:r>
          </w:p>
        </w:tc>
        <w:tc>
          <w:tcPr>
            <w:tcW w:type="dxa" w:w="1066"/>
            <w:vAlign w:val="center"/>
            <w:tcMar>
              <w:top w:w="30" w:type="dxa"/>
              <w:bottom w:w="30" w:type="dxa"/>
              <w:left w:w="30" w:type="dxa"/>
              <w:right w:w="30" w:type="dxa"/>
            </w:tcMar>
            <w:shd w:fill="FFFFFF"/>
          </w:tcPr>
          <w:p>
            <w:pPr>
              <w:spacing w:before="0" w:after="0"/>
              <w:jc w:val="center"/>
            </w:pPr>
            <w:r>
              <w:rPr>
                <w:rFonts w:ascii="Times New Roman" w:hAnsi="Times New Roman"/>
                <w:sz w:val="15"/>
              </w:rPr>
              <w:t>76.7 ± 0.7</w:t>
            </w:r>
          </w:p>
        </w:tc>
        <w:tc>
          <w:tcPr>
            <w:tcW w:type="dxa" w:w="1008"/>
            <w:vAlign w:val="center"/>
            <w:tcMar>
              <w:top w:w="30" w:type="dxa"/>
              <w:bottom w:w="30" w:type="dxa"/>
              <w:left w:w="30" w:type="dxa"/>
              <w:right w:w="30" w:type="dxa"/>
            </w:tcMar>
            <w:shd w:fill="FFFFFF"/>
          </w:tcPr>
          <w:p>
            <w:pPr>
              <w:spacing w:before="0" w:after="0"/>
              <w:jc w:val="center"/>
            </w:pPr>
            <w:r>
              <w:rPr>
                <w:rFonts w:ascii="Times New Roman" w:hAnsi="Times New Roman"/>
                <w:sz w:val="15"/>
              </w:rPr>
              <w:t>3.5</w:t>
            </w:r>
          </w:p>
        </w:tc>
        <w:tc>
          <w:tcPr>
            <w:tcW w:type="dxa" w:w="1080"/>
            <w:vAlign w:val="center"/>
            <w:tcMar>
              <w:top w:w="30" w:type="dxa"/>
              <w:bottom w:w="30" w:type="dxa"/>
              <w:left w:w="30" w:type="dxa"/>
              <w:right w:w="30" w:type="dxa"/>
            </w:tcMar>
            <w:shd w:fill="FFFFFF"/>
          </w:tcPr>
          <w:p>
            <w:pPr>
              <w:spacing w:before="0" w:after="0"/>
              <w:jc w:val="center"/>
            </w:pPr>
            <w:r>
              <w:rPr>
                <w:rFonts w:ascii="Times New Roman" w:hAnsi="Times New Roman"/>
                <w:sz w:val="15"/>
              </w:rPr>
              <w:t>32 ms</w:t>
            </w:r>
          </w:p>
        </w:tc>
      </w:tr>
      <w:tr>
        <w:tc>
          <w:tcPr>
            <w:tcW w:type="dxa" w:w="1872"/>
            <w:vAlign w:val="center"/>
            <w:tcMar>
              <w:top w:w="30" w:type="dxa"/>
              <w:bottom w:w="30" w:type="dxa"/>
              <w:left w:w="30" w:type="dxa"/>
              <w:right w:w="30" w:type="dxa"/>
            </w:tcMar>
            <w:shd w:fill="FFFFFF"/>
          </w:tcPr>
          <w:p>
            <w:pPr>
              <w:spacing w:before="0" w:after="0"/>
              <w:jc w:val="left"/>
            </w:pPr>
            <w:r>
              <w:rPr>
                <w:rFonts w:ascii="Times New Roman" w:hAnsi="Times New Roman"/>
                <w:sz w:val="15"/>
              </w:rPr>
              <w:t>VGG-16 [25]</w:t>
            </w:r>
          </w:p>
        </w:tc>
        <w:tc>
          <w:tcPr>
            <w:tcW w:type="dxa" w:w="1066"/>
            <w:vAlign w:val="center"/>
            <w:tcMar>
              <w:top w:w="30" w:type="dxa"/>
              <w:bottom w:w="30" w:type="dxa"/>
              <w:left w:w="30" w:type="dxa"/>
              <w:right w:w="30" w:type="dxa"/>
            </w:tcMar>
            <w:shd w:fill="FFFFFF"/>
          </w:tcPr>
          <w:p>
            <w:pPr>
              <w:spacing w:before="0" w:after="0"/>
              <w:jc w:val="center"/>
            </w:pPr>
            <w:r>
              <w:rPr>
                <w:rFonts w:ascii="Times New Roman" w:hAnsi="Times New Roman"/>
                <w:sz w:val="15"/>
              </w:rPr>
              <w:t>78.8 ± 0.6</w:t>
            </w:r>
          </w:p>
        </w:tc>
        <w:tc>
          <w:tcPr>
            <w:tcW w:type="dxa" w:w="1066"/>
            <w:vAlign w:val="center"/>
            <w:tcMar>
              <w:top w:w="30" w:type="dxa"/>
              <w:bottom w:w="30" w:type="dxa"/>
              <w:left w:w="30" w:type="dxa"/>
              <w:right w:w="30" w:type="dxa"/>
            </w:tcMar>
            <w:shd w:fill="FFFFFF"/>
          </w:tcPr>
          <w:p>
            <w:pPr>
              <w:spacing w:before="0" w:after="0"/>
              <w:jc w:val="center"/>
            </w:pPr>
            <w:r>
              <w:rPr>
                <w:rFonts w:ascii="Times New Roman" w:hAnsi="Times New Roman"/>
                <w:sz w:val="15"/>
              </w:rPr>
              <w:t>84.6 ± 0.5</w:t>
            </w:r>
          </w:p>
        </w:tc>
        <w:tc>
          <w:tcPr>
            <w:tcW w:type="dxa" w:w="1066"/>
            <w:vAlign w:val="center"/>
            <w:tcMar>
              <w:top w:w="30" w:type="dxa"/>
              <w:bottom w:w="30" w:type="dxa"/>
              <w:left w:w="30" w:type="dxa"/>
              <w:right w:w="30" w:type="dxa"/>
            </w:tcMar>
            <w:shd w:fill="FFFFFF"/>
          </w:tcPr>
          <w:p>
            <w:pPr>
              <w:spacing w:before="0" w:after="0"/>
              <w:jc w:val="center"/>
            </w:pPr>
            <w:r>
              <w:rPr>
                <w:rFonts w:ascii="Times New Roman" w:hAnsi="Times New Roman"/>
                <w:sz w:val="15"/>
              </w:rPr>
              <w:t>78.1 ± 0.7</w:t>
            </w:r>
          </w:p>
        </w:tc>
        <w:tc>
          <w:tcPr>
            <w:tcW w:type="dxa" w:w="1066"/>
            <w:vAlign w:val="center"/>
            <w:tcMar>
              <w:top w:w="30" w:type="dxa"/>
              <w:bottom w:w="30" w:type="dxa"/>
              <w:left w:w="30" w:type="dxa"/>
              <w:right w:w="30" w:type="dxa"/>
            </w:tcMar>
            <w:shd w:fill="FFFFFF"/>
          </w:tcPr>
          <w:p>
            <w:pPr>
              <w:spacing w:before="0" w:after="0"/>
              <w:jc w:val="center"/>
            </w:pPr>
            <w:r>
              <w:rPr>
                <w:rFonts w:ascii="Times New Roman" w:hAnsi="Times New Roman"/>
                <w:sz w:val="15"/>
              </w:rPr>
              <w:t>80.1 ± 0.8</w:t>
            </w:r>
          </w:p>
        </w:tc>
        <w:tc>
          <w:tcPr>
            <w:tcW w:type="dxa" w:w="1066"/>
            <w:vAlign w:val="center"/>
            <w:tcMar>
              <w:top w:w="30" w:type="dxa"/>
              <w:bottom w:w="30" w:type="dxa"/>
              <w:left w:w="30" w:type="dxa"/>
              <w:right w:w="30" w:type="dxa"/>
            </w:tcMar>
            <w:shd w:fill="FFFFFF"/>
          </w:tcPr>
          <w:p>
            <w:pPr>
              <w:spacing w:before="0" w:after="0"/>
              <w:jc w:val="center"/>
            </w:pPr>
            <w:r>
              <w:rPr>
                <w:rFonts w:ascii="Times New Roman" w:hAnsi="Times New Roman"/>
                <w:sz w:val="15"/>
              </w:rPr>
              <w:t>77.5 ± 0.7</w:t>
            </w:r>
          </w:p>
        </w:tc>
        <w:tc>
          <w:tcPr>
            <w:tcW w:type="dxa" w:w="1066"/>
            <w:vAlign w:val="center"/>
            <w:tcMar>
              <w:top w:w="30" w:type="dxa"/>
              <w:bottom w:w="30" w:type="dxa"/>
              <w:left w:w="30" w:type="dxa"/>
              <w:right w:w="30" w:type="dxa"/>
            </w:tcMar>
            <w:shd w:fill="FFFFFF"/>
          </w:tcPr>
          <w:p>
            <w:pPr>
              <w:spacing w:before="0" w:after="0"/>
              <w:jc w:val="center"/>
            </w:pPr>
            <w:r>
              <w:rPr>
                <w:rFonts w:ascii="Times New Roman" w:hAnsi="Times New Roman"/>
                <w:sz w:val="15"/>
              </w:rPr>
              <w:t>79.1 ± 0.6</w:t>
            </w:r>
          </w:p>
        </w:tc>
        <w:tc>
          <w:tcPr>
            <w:tcW w:type="dxa" w:w="1008"/>
            <w:vAlign w:val="center"/>
            <w:tcMar>
              <w:top w:w="30" w:type="dxa"/>
              <w:bottom w:w="30" w:type="dxa"/>
              <w:left w:w="30" w:type="dxa"/>
              <w:right w:w="30" w:type="dxa"/>
            </w:tcMar>
            <w:shd w:fill="FFFFFF"/>
          </w:tcPr>
          <w:p>
            <w:pPr>
              <w:spacing w:before="0" w:after="0"/>
              <w:jc w:val="center"/>
            </w:pPr>
            <w:r>
              <w:rPr>
                <w:rFonts w:ascii="Times New Roman" w:hAnsi="Times New Roman"/>
                <w:sz w:val="15"/>
              </w:rPr>
              <w:t>138.4</w:t>
            </w:r>
          </w:p>
        </w:tc>
        <w:tc>
          <w:tcPr>
            <w:tcW w:type="dxa" w:w="1080"/>
            <w:vAlign w:val="center"/>
            <w:tcMar>
              <w:top w:w="30" w:type="dxa"/>
              <w:bottom w:w="30" w:type="dxa"/>
              <w:left w:w="30" w:type="dxa"/>
              <w:right w:w="30" w:type="dxa"/>
            </w:tcMar>
            <w:shd w:fill="FFFFFF"/>
          </w:tcPr>
          <w:p>
            <w:pPr>
              <w:spacing w:before="0" w:after="0"/>
              <w:jc w:val="center"/>
            </w:pPr>
            <w:r>
              <w:rPr>
                <w:rFonts w:ascii="Times New Roman" w:hAnsi="Times New Roman"/>
                <w:sz w:val="15"/>
              </w:rPr>
              <w:t>110 ms</w:t>
            </w:r>
          </w:p>
        </w:tc>
      </w:tr>
      <w:tr>
        <w:tc>
          <w:tcPr>
            <w:tcW w:type="dxa" w:w="1872"/>
            <w:vAlign w:val="center"/>
            <w:tcMar>
              <w:top w:w="30" w:type="dxa"/>
              <w:bottom w:w="30" w:type="dxa"/>
              <w:left w:w="30" w:type="dxa"/>
              <w:right w:w="30" w:type="dxa"/>
            </w:tcMar>
            <w:shd w:fill="FFFFFF"/>
          </w:tcPr>
          <w:p>
            <w:pPr>
              <w:spacing w:before="0" w:after="0"/>
              <w:jc w:val="left"/>
            </w:pPr>
            <w:r>
              <w:rPr>
                <w:rFonts w:ascii="Times New Roman" w:hAnsi="Times New Roman"/>
                <w:sz w:val="15"/>
              </w:rPr>
              <w:t>VGG-19 [25]</w:t>
            </w:r>
          </w:p>
        </w:tc>
        <w:tc>
          <w:tcPr>
            <w:tcW w:type="dxa" w:w="1066"/>
            <w:vAlign w:val="center"/>
            <w:tcMar>
              <w:top w:w="30" w:type="dxa"/>
              <w:bottom w:w="30" w:type="dxa"/>
              <w:left w:w="30" w:type="dxa"/>
              <w:right w:w="30" w:type="dxa"/>
            </w:tcMar>
            <w:shd w:fill="FFFFFF"/>
          </w:tcPr>
          <w:p>
            <w:pPr>
              <w:spacing w:before="0" w:after="0"/>
              <w:jc w:val="center"/>
            </w:pPr>
            <w:r>
              <w:rPr>
                <w:rFonts w:ascii="Times New Roman" w:hAnsi="Times New Roman"/>
                <w:sz w:val="15"/>
              </w:rPr>
              <w:t>79.5 ± 0.6</w:t>
            </w:r>
          </w:p>
        </w:tc>
        <w:tc>
          <w:tcPr>
            <w:tcW w:type="dxa" w:w="1066"/>
            <w:vAlign w:val="center"/>
            <w:tcMar>
              <w:top w:w="30" w:type="dxa"/>
              <w:bottom w:w="30" w:type="dxa"/>
              <w:left w:w="30" w:type="dxa"/>
              <w:right w:w="30" w:type="dxa"/>
            </w:tcMar>
            <w:shd w:fill="FFFFFF"/>
          </w:tcPr>
          <w:p>
            <w:pPr>
              <w:spacing w:before="0" w:after="0"/>
              <w:jc w:val="center"/>
            </w:pPr>
            <w:r>
              <w:rPr>
                <w:rFonts w:ascii="Times New Roman" w:hAnsi="Times New Roman"/>
                <w:sz w:val="15"/>
              </w:rPr>
              <w:t>85.3 ± 0.5</w:t>
            </w:r>
          </w:p>
        </w:tc>
        <w:tc>
          <w:tcPr>
            <w:tcW w:type="dxa" w:w="1066"/>
            <w:vAlign w:val="center"/>
            <w:tcMar>
              <w:top w:w="30" w:type="dxa"/>
              <w:bottom w:w="30" w:type="dxa"/>
              <w:left w:w="30" w:type="dxa"/>
              <w:right w:w="30" w:type="dxa"/>
            </w:tcMar>
            <w:shd w:fill="FFFFFF"/>
          </w:tcPr>
          <w:p>
            <w:pPr>
              <w:spacing w:before="0" w:after="0"/>
              <w:jc w:val="center"/>
            </w:pPr>
            <w:r>
              <w:rPr>
                <w:rFonts w:ascii="Times New Roman" w:hAnsi="Times New Roman"/>
                <w:sz w:val="15"/>
              </w:rPr>
              <w:t>78.9 ± 0.7</w:t>
            </w:r>
          </w:p>
        </w:tc>
        <w:tc>
          <w:tcPr>
            <w:tcW w:type="dxa" w:w="1066"/>
            <w:vAlign w:val="center"/>
            <w:tcMar>
              <w:top w:w="30" w:type="dxa"/>
              <w:bottom w:w="30" w:type="dxa"/>
              <w:left w:w="30" w:type="dxa"/>
              <w:right w:w="30" w:type="dxa"/>
            </w:tcMar>
            <w:shd w:fill="FFFFFF"/>
          </w:tcPr>
          <w:p>
            <w:pPr>
              <w:spacing w:before="0" w:after="0"/>
              <w:jc w:val="center"/>
            </w:pPr>
            <w:r>
              <w:rPr>
                <w:rFonts w:ascii="Times New Roman" w:hAnsi="Times New Roman"/>
                <w:sz w:val="15"/>
              </w:rPr>
              <w:t>80.6 ± 0.8</w:t>
            </w:r>
          </w:p>
        </w:tc>
        <w:tc>
          <w:tcPr>
            <w:tcW w:type="dxa" w:w="1066"/>
            <w:vAlign w:val="center"/>
            <w:tcMar>
              <w:top w:w="30" w:type="dxa"/>
              <w:bottom w:w="30" w:type="dxa"/>
              <w:left w:w="30" w:type="dxa"/>
              <w:right w:w="30" w:type="dxa"/>
            </w:tcMar>
            <w:shd w:fill="FFFFFF"/>
          </w:tcPr>
          <w:p>
            <w:pPr>
              <w:spacing w:before="0" w:after="0"/>
              <w:jc w:val="center"/>
            </w:pPr>
            <w:r>
              <w:rPr>
                <w:rFonts w:ascii="Times New Roman" w:hAnsi="Times New Roman"/>
                <w:sz w:val="15"/>
              </w:rPr>
              <w:t>78.4 ± 0.7</w:t>
            </w:r>
          </w:p>
        </w:tc>
        <w:tc>
          <w:tcPr>
            <w:tcW w:type="dxa" w:w="1066"/>
            <w:vAlign w:val="center"/>
            <w:tcMar>
              <w:top w:w="30" w:type="dxa"/>
              <w:bottom w:w="30" w:type="dxa"/>
              <w:left w:w="30" w:type="dxa"/>
              <w:right w:w="30" w:type="dxa"/>
            </w:tcMar>
            <w:shd w:fill="FFFFFF"/>
          </w:tcPr>
          <w:p>
            <w:pPr>
              <w:spacing w:before="0" w:after="0"/>
              <w:jc w:val="center"/>
            </w:pPr>
            <w:r>
              <w:rPr>
                <w:rFonts w:ascii="Times New Roman" w:hAnsi="Times New Roman"/>
                <w:sz w:val="15"/>
              </w:rPr>
              <w:t>79.7 ± 0.6</w:t>
            </w:r>
          </w:p>
        </w:tc>
        <w:tc>
          <w:tcPr>
            <w:tcW w:type="dxa" w:w="1008"/>
            <w:vAlign w:val="center"/>
            <w:tcMar>
              <w:top w:w="30" w:type="dxa"/>
              <w:bottom w:w="30" w:type="dxa"/>
              <w:left w:w="30" w:type="dxa"/>
              <w:right w:w="30" w:type="dxa"/>
            </w:tcMar>
            <w:shd w:fill="FFFFFF"/>
          </w:tcPr>
          <w:p>
            <w:pPr>
              <w:spacing w:before="0" w:after="0"/>
              <w:jc w:val="center"/>
            </w:pPr>
            <w:r>
              <w:rPr>
                <w:rFonts w:ascii="Times New Roman" w:hAnsi="Times New Roman"/>
                <w:sz w:val="15"/>
              </w:rPr>
              <w:t>143.6</w:t>
            </w:r>
          </w:p>
        </w:tc>
        <w:tc>
          <w:tcPr>
            <w:tcW w:type="dxa" w:w="1080"/>
            <w:vAlign w:val="center"/>
            <w:tcMar>
              <w:top w:w="30" w:type="dxa"/>
              <w:bottom w:w="30" w:type="dxa"/>
              <w:left w:w="30" w:type="dxa"/>
              <w:right w:w="30" w:type="dxa"/>
            </w:tcMar>
            <w:shd w:fill="FFFFFF"/>
          </w:tcPr>
          <w:p>
            <w:pPr>
              <w:spacing w:before="0" w:after="0"/>
              <w:jc w:val="center"/>
            </w:pPr>
            <w:r>
              <w:rPr>
                <w:rFonts w:ascii="Times New Roman" w:hAnsi="Times New Roman"/>
                <w:sz w:val="15"/>
              </w:rPr>
              <w:t>125 ms</w:t>
            </w:r>
          </w:p>
        </w:tc>
      </w:tr>
      <w:tr>
        <w:tc>
          <w:tcPr>
            <w:tcW w:type="dxa" w:w="1872"/>
            <w:vAlign w:val="center"/>
            <w:tcMar>
              <w:top w:w="30" w:type="dxa"/>
              <w:bottom w:w="30" w:type="dxa"/>
              <w:left w:w="30" w:type="dxa"/>
              <w:right w:w="30" w:type="dxa"/>
            </w:tcMar>
            <w:shd w:fill="FFFFFF"/>
          </w:tcPr>
          <w:p>
            <w:pPr>
              <w:spacing w:before="0" w:after="0"/>
              <w:jc w:val="left"/>
            </w:pPr>
            <w:r>
              <w:rPr>
                <w:rFonts w:ascii="Times New Roman" w:hAnsi="Times New Roman"/>
                <w:sz w:val="15"/>
              </w:rPr>
              <w:t>ResNet-34 [24]</w:t>
            </w:r>
          </w:p>
        </w:tc>
        <w:tc>
          <w:tcPr>
            <w:tcW w:type="dxa" w:w="1066"/>
            <w:vAlign w:val="center"/>
            <w:tcMar>
              <w:top w:w="30" w:type="dxa"/>
              <w:bottom w:w="30" w:type="dxa"/>
              <w:left w:w="30" w:type="dxa"/>
              <w:right w:w="30" w:type="dxa"/>
            </w:tcMar>
            <w:shd w:fill="FFFFFF"/>
          </w:tcPr>
          <w:p>
            <w:pPr>
              <w:spacing w:before="0" w:after="0"/>
              <w:jc w:val="center"/>
            </w:pPr>
            <w:r>
              <w:rPr>
                <w:rFonts w:ascii="Times New Roman" w:hAnsi="Times New Roman"/>
                <w:sz w:val="15"/>
              </w:rPr>
              <w:t>81.2 ± 0.5</w:t>
            </w:r>
          </w:p>
        </w:tc>
        <w:tc>
          <w:tcPr>
            <w:tcW w:type="dxa" w:w="1066"/>
            <w:vAlign w:val="center"/>
            <w:tcMar>
              <w:top w:w="30" w:type="dxa"/>
              <w:bottom w:w="30" w:type="dxa"/>
              <w:left w:w="30" w:type="dxa"/>
              <w:right w:w="30" w:type="dxa"/>
            </w:tcMar>
            <w:shd w:fill="FFFFFF"/>
          </w:tcPr>
          <w:p>
            <w:pPr>
              <w:spacing w:before="0" w:after="0"/>
              <w:jc w:val="center"/>
            </w:pPr>
            <w:r>
              <w:rPr>
                <w:rFonts w:ascii="Times New Roman" w:hAnsi="Times New Roman"/>
                <w:sz w:val="15"/>
              </w:rPr>
              <w:t>87.1 ± 0.5</w:t>
            </w:r>
          </w:p>
        </w:tc>
        <w:tc>
          <w:tcPr>
            <w:tcW w:type="dxa" w:w="1066"/>
            <w:vAlign w:val="center"/>
            <w:tcMar>
              <w:top w:w="30" w:type="dxa"/>
              <w:bottom w:w="30" w:type="dxa"/>
              <w:left w:w="30" w:type="dxa"/>
              <w:right w:w="30" w:type="dxa"/>
            </w:tcMar>
            <w:shd w:fill="FFFFFF"/>
          </w:tcPr>
          <w:p>
            <w:pPr>
              <w:spacing w:before="0" w:after="0"/>
              <w:jc w:val="center"/>
            </w:pPr>
            <w:r>
              <w:rPr>
                <w:rFonts w:ascii="Times New Roman" w:hAnsi="Times New Roman"/>
                <w:sz w:val="15"/>
              </w:rPr>
              <w:t>80.5 ± 0.6</w:t>
            </w:r>
          </w:p>
        </w:tc>
        <w:tc>
          <w:tcPr>
            <w:tcW w:type="dxa" w:w="1066"/>
            <w:vAlign w:val="center"/>
            <w:tcMar>
              <w:top w:w="30" w:type="dxa"/>
              <w:bottom w:w="30" w:type="dxa"/>
              <w:left w:w="30" w:type="dxa"/>
              <w:right w:w="30" w:type="dxa"/>
            </w:tcMar>
            <w:shd w:fill="FFFFFF"/>
          </w:tcPr>
          <w:p>
            <w:pPr>
              <w:spacing w:before="0" w:after="0"/>
              <w:jc w:val="center"/>
            </w:pPr>
            <w:r>
              <w:rPr>
                <w:rFonts w:ascii="Times New Roman" w:hAnsi="Times New Roman"/>
                <w:sz w:val="15"/>
              </w:rPr>
              <w:t>82.2 ± 0.7</w:t>
            </w:r>
          </w:p>
        </w:tc>
        <w:tc>
          <w:tcPr>
            <w:tcW w:type="dxa" w:w="1066"/>
            <w:vAlign w:val="center"/>
            <w:tcMar>
              <w:top w:w="30" w:type="dxa"/>
              <w:bottom w:w="30" w:type="dxa"/>
              <w:left w:w="30" w:type="dxa"/>
              <w:right w:w="30" w:type="dxa"/>
            </w:tcMar>
            <w:shd w:fill="FFFFFF"/>
          </w:tcPr>
          <w:p>
            <w:pPr>
              <w:spacing w:before="0" w:after="0"/>
              <w:jc w:val="center"/>
            </w:pPr>
            <w:r>
              <w:rPr>
                <w:rFonts w:ascii="Times New Roman" w:hAnsi="Times New Roman"/>
                <w:sz w:val="15"/>
              </w:rPr>
              <w:t>80.2 ± 0.6</w:t>
            </w:r>
          </w:p>
        </w:tc>
        <w:tc>
          <w:tcPr>
            <w:tcW w:type="dxa" w:w="1066"/>
            <w:vAlign w:val="center"/>
            <w:tcMar>
              <w:top w:w="30" w:type="dxa"/>
              <w:bottom w:w="30" w:type="dxa"/>
              <w:left w:w="30" w:type="dxa"/>
              <w:right w:w="30" w:type="dxa"/>
            </w:tcMar>
            <w:shd w:fill="FFFFFF"/>
          </w:tcPr>
          <w:p>
            <w:pPr>
              <w:spacing w:before="0" w:after="0"/>
              <w:jc w:val="center"/>
            </w:pPr>
            <w:r>
              <w:rPr>
                <w:rFonts w:ascii="Times New Roman" w:hAnsi="Times New Roman"/>
                <w:sz w:val="15"/>
              </w:rPr>
              <w:t>81.3 ± 0.5</w:t>
            </w:r>
          </w:p>
        </w:tc>
        <w:tc>
          <w:tcPr>
            <w:tcW w:type="dxa" w:w="1008"/>
            <w:vAlign w:val="center"/>
            <w:tcMar>
              <w:top w:w="30" w:type="dxa"/>
              <w:bottom w:w="30" w:type="dxa"/>
              <w:left w:w="30" w:type="dxa"/>
              <w:right w:w="30" w:type="dxa"/>
            </w:tcMar>
            <w:shd w:fill="FFFFFF"/>
          </w:tcPr>
          <w:p>
            <w:pPr>
              <w:spacing w:before="0" w:after="0"/>
              <w:jc w:val="center"/>
            </w:pPr>
            <w:r>
              <w:rPr>
                <w:rFonts w:ascii="Times New Roman" w:hAnsi="Times New Roman"/>
                <w:sz w:val="15"/>
              </w:rPr>
              <w:t>21.8</w:t>
            </w:r>
          </w:p>
        </w:tc>
        <w:tc>
          <w:tcPr>
            <w:tcW w:type="dxa" w:w="1080"/>
            <w:vAlign w:val="center"/>
            <w:tcMar>
              <w:top w:w="30" w:type="dxa"/>
              <w:bottom w:w="30" w:type="dxa"/>
              <w:left w:w="30" w:type="dxa"/>
              <w:right w:w="30" w:type="dxa"/>
            </w:tcMar>
            <w:shd w:fill="FFFFFF"/>
          </w:tcPr>
          <w:p>
            <w:pPr>
              <w:spacing w:before="0" w:after="0"/>
              <w:jc w:val="center"/>
            </w:pPr>
            <w:r>
              <w:rPr>
                <w:rFonts w:ascii="Times New Roman" w:hAnsi="Times New Roman"/>
                <w:sz w:val="15"/>
              </w:rPr>
              <w:t>52 ms</w:t>
            </w:r>
          </w:p>
        </w:tc>
      </w:tr>
      <w:tr>
        <w:tc>
          <w:tcPr>
            <w:tcW w:type="dxa" w:w="1872"/>
            <w:vAlign w:val="center"/>
            <w:tcMar>
              <w:top w:w="30" w:type="dxa"/>
              <w:bottom w:w="30" w:type="dxa"/>
              <w:left w:w="30" w:type="dxa"/>
              <w:right w:w="30" w:type="dxa"/>
            </w:tcMar>
            <w:shd w:fill="F8FAFC"/>
          </w:tcPr>
          <w:p>
            <w:pPr>
              <w:spacing w:before="0" w:after="0"/>
              <w:jc w:val="left"/>
            </w:pPr>
            <w:r>
              <w:rPr>
                <w:rFonts w:ascii="Times New Roman" w:hAnsi="Times New Roman"/>
                <w:b/>
                <w:sz w:val="15"/>
              </w:rPr>
              <w:t>ResNet-50 (Optimal)</w:t>
            </w:r>
          </w:p>
        </w:tc>
        <w:tc>
          <w:tcPr>
            <w:tcW w:type="dxa" w:w="1066"/>
            <w:vAlign w:val="center"/>
            <w:tcMar>
              <w:top w:w="30" w:type="dxa"/>
              <w:bottom w:w="30" w:type="dxa"/>
              <w:left w:w="30" w:type="dxa"/>
              <w:right w:w="30" w:type="dxa"/>
            </w:tcMar>
            <w:shd w:fill="F8FAFC"/>
          </w:tcPr>
          <w:p>
            <w:pPr>
              <w:spacing w:before="0" w:after="0"/>
              <w:jc w:val="center"/>
            </w:pPr>
            <w:r>
              <w:rPr>
                <w:rFonts w:ascii="Times New Roman" w:hAnsi="Times New Roman"/>
                <w:b/>
                <w:sz w:val="15"/>
              </w:rPr>
              <w:t>82.4 ± 0.5</w:t>
            </w:r>
          </w:p>
        </w:tc>
        <w:tc>
          <w:tcPr>
            <w:tcW w:type="dxa" w:w="1066"/>
            <w:vAlign w:val="center"/>
            <w:tcMar>
              <w:top w:w="30" w:type="dxa"/>
              <w:bottom w:w="30" w:type="dxa"/>
              <w:left w:w="30" w:type="dxa"/>
              <w:right w:w="30" w:type="dxa"/>
            </w:tcMar>
            <w:shd w:fill="F8FAFC"/>
          </w:tcPr>
          <w:p>
            <w:pPr>
              <w:spacing w:before="0" w:after="0"/>
              <w:jc w:val="center"/>
            </w:pPr>
            <w:r>
              <w:rPr>
                <w:rFonts w:ascii="Times New Roman" w:hAnsi="Times New Roman"/>
                <w:b/>
                <w:sz w:val="15"/>
              </w:rPr>
              <w:t>88.6 ± 0.4</w:t>
            </w:r>
          </w:p>
        </w:tc>
        <w:tc>
          <w:tcPr>
            <w:tcW w:type="dxa" w:w="1066"/>
            <w:vAlign w:val="center"/>
            <w:tcMar>
              <w:top w:w="30" w:type="dxa"/>
              <w:bottom w:w="30" w:type="dxa"/>
              <w:left w:w="30" w:type="dxa"/>
              <w:right w:w="30" w:type="dxa"/>
            </w:tcMar>
            <w:shd w:fill="F8FAFC"/>
          </w:tcPr>
          <w:p>
            <w:pPr>
              <w:spacing w:before="0" w:after="0"/>
              <w:jc w:val="center"/>
            </w:pPr>
            <w:r>
              <w:rPr>
                <w:rFonts w:ascii="Times New Roman" w:hAnsi="Times New Roman"/>
                <w:b/>
                <w:sz w:val="15"/>
              </w:rPr>
              <w:t>82.3 ± 0.6</w:t>
            </w:r>
          </w:p>
        </w:tc>
        <w:tc>
          <w:tcPr>
            <w:tcW w:type="dxa" w:w="1066"/>
            <w:vAlign w:val="center"/>
            <w:tcMar>
              <w:top w:w="30" w:type="dxa"/>
              <w:bottom w:w="30" w:type="dxa"/>
              <w:left w:w="30" w:type="dxa"/>
              <w:right w:w="30" w:type="dxa"/>
            </w:tcMar>
            <w:shd w:fill="F8FAFC"/>
          </w:tcPr>
          <w:p>
            <w:pPr>
              <w:spacing w:before="0" w:after="0"/>
              <w:jc w:val="center"/>
            </w:pPr>
            <w:r>
              <w:rPr>
                <w:rFonts w:ascii="Times New Roman" w:hAnsi="Times New Roman"/>
                <w:b/>
                <w:sz w:val="15"/>
              </w:rPr>
              <w:t>80.8 ± 0.7</w:t>
            </w:r>
          </w:p>
        </w:tc>
        <w:tc>
          <w:tcPr>
            <w:tcW w:type="dxa" w:w="1066"/>
            <w:vAlign w:val="center"/>
            <w:tcMar>
              <w:top w:w="30" w:type="dxa"/>
              <w:bottom w:w="30" w:type="dxa"/>
              <w:left w:w="30" w:type="dxa"/>
              <w:right w:w="30" w:type="dxa"/>
            </w:tcMar>
            <w:shd w:fill="F8FAFC"/>
          </w:tcPr>
          <w:p>
            <w:pPr>
              <w:spacing w:before="0" w:after="0"/>
              <w:jc w:val="center"/>
            </w:pPr>
            <w:r>
              <w:rPr>
                <w:rFonts w:ascii="Times New Roman" w:hAnsi="Times New Roman"/>
                <w:b/>
                <w:sz w:val="15"/>
              </w:rPr>
              <w:t>84.0 ± 0.6</w:t>
            </w:r>
          </w:p>
        </w:tc>
        <w:tc>
          <w:tcPr>
            <w:tcW w:type="dxa" w:w="1066"/>
            <w:vAlign w:val="center"/>
            <w:tcMar>
              <w:top w:w="30" w:type="dxa"/>
              <w:bottom w:w="30" w:type="dxa"/>
              <w:left w:w="30" w:type="dxa"/>
              <w:right w:w="30" w:type="dxa"/>
            </w:tcMar>
            <w:shd w:fill="F8FAFC"/>
          </w:tcPr>
          <w:p>
            <w:pPr>
              <w:spacing w:before="0" w:after="0"/>
              <w:jc w:val="center"/>
            </w:pPr>
            <w:r>
              <w:rPr>
                <w:rFonts w:ascii="Times New Roman" w:hAnsi="Times New Roman"/>
                <w:b/>
                <w:sz w:val="15"/>
              </w:rPr>
              <w:t>81.6 ± 0.5</w:t>
            </w:r>
          </w:p>
        </w:tc>
        <w:tc>
          <w:tcPr>
            <w:tcW w:type="dxa" w:w="1008"/>
            <w:vAlign w:val="center"/>
            <w:tcMar>
              <w:top w:w="30" w:type="dxa"/>
              <w:bottom w:w="30" w:type="dxa"/>
              <w:left w:w="30" w:type="dxa"/>
              <w:right w:w="30" w:type="dxa"/>
            </w:tcMar>
            <w:shd w:fill="F8FAFC"/>
          </w:tcPr>
          <w:p>
            <w:pPr>
              <w:spacing w:before="0" w:after="0"/>
              <w:jc w:val="center"/>
            </w:pPr>
            <w:r>
              <w:rPr>
                <w:rFonts w:ascii="Times New Roman" w:hAnsi="Times New Roman"/>
                <w:b/>
                <w:sz w:val="15"/>
              </w:rPr>
              <w:t>25.6</w:t>
            </w:r>
          </w:p>
        </w:tc>
        <w:tc>
          <w:tcPr>
            <w:tcW w:type="dxa" w:w="1080"/>
            <w:vAlign w:val="center"/>
            <w:tcMar>
              <w:top w:w="30" w:type="dxa"/>
              <w:bottom w:w="30" w:type="dxa"/>
              <w:left w:w="30" w:type="dxa"/>
              <w:right w:w="30" w:type="dxa"/>
            </w:tcMar>
            <w:shd w:fill="F8FAFC"/>
          </w:tcPr>
          <w:p>
            <w:pPr>
              <w:spacing w:before="0" w:after="0"/>
              <w:jc w:val="center"/>
            </w:pPr>
            <w:r>
              <w:rPr>
                <w:rFonts w:ascii="Times New Roman" w:hAnsi="Times New Roman"/>
                <w:b/>
                <w:sz w:val="15"/>
              </w:rPr>
              <w:t>42 ms</w:t>
            </w:r>
          </w:p>
        </w:tc>
      </w:tr>
    </w:tbl>
    <w:p>
      <w:pPr>
        <w:sectPr>
          <w:type w:val="continuous"/>
          <w:pgSz w:w="12240" w:h="15840"/>
          <w:pgMar w:top="1080" w:right="900" w:bottom="1440" w:left="900" w:header="720" w:footer="720" w:gutter="0"/>
          <w:cols w:space="360" w:num="1"/>
          <w:docGrid w:linePitch="360"/>
        </w:sectPr>
      </w:pPr>
    </w:p>
    <w:p>
      <w:pPr>
        <w:spacing w:line="240" w:lineRule="auto" w:before="0" w:after="0"/>
        <w:ind w:firstLine="202"/>
        <w:jc w:val="both"/>
      </w:pPr>
      <w:r>
        <w:rPr>
          <w:rFonts w:ascii="Times New Roman" w:hAnsi="Times New Roman"/>
          <w:color w:val="000000"/>
          <w:sz w:val="19"/>
        </w:rPr>
        <w:t>As detailed in Table III, ResNet-50 unequivocally achieves superior diagnostic performance across every primary evaluation metric:</w:t>
      </w:r>
    </w:p>
    <w:p>
      <w:pPr>
        <w:spacing w:line="240" w:lineRule="auto" w:before="0" w:after="0"/>
        <w:ind w:firstLine="202"/>
        <w:jc w:val="both"/>
      </w:pPr>
      <w:r>
        <w:rPr>
          <w:rFonts w:ascii="Times New Roman" w:hAnsi="Times New Roman"/>
          <w:b/>
          <w:color w:val="000000"/>
          <w:sz w:val="19"/>
        </w:rPr>
        <w:t xml:space="preserve">• Accuracy: </w:t>
      </w:r>
      <w:r>
        <w:rPr>
          <w:rFonts w:ascii="Times New Roman" w:hAnsi="Times New Roman"/>
          <w:color w:val="000000"/>
          <w:sz w:val="19"/>
        </w:rPr>
        <w:t>ResNet-50 attains 82.4%, outperforming ResNet-34 (81.2%), VGG-19 (79.5%), VGG-16 (78.8%), MobileNet-V2 (76.4%), and AlexNet (74.1%).</w:t>
      </w:r>
    </w:p>
    <w:p>
      <w:pPr>
        <w:spacing w:line="240" w:lineRule="auto" w:before="0" w:after="0"/>
        <w:ind w:firstLine="202"/>
        <w:jc w:val="both"/>
      </w:pPr>
      <w:r>
        <w:rPr>
          <w:rFonts w:ascii="Times New Roman" w:hAnsi="Times New Roman"/>
          <w:b/>
          <w:color w:val="000000"/>
          <w:sz w:val="19"/>
        </w:rPr>
        <w:t xml:space="preserve">• AUROC Discriminability: </w:t>
      </w:r>
      <w:r>
        <w:rPr>
          <w:rFonts w:ascii="Times New Roman" w:hAnsi="Times New Roman"/>
          <w:color w:val="000000"/>
          <w:sz w:val="19"/>
        </w:rPr>
        <w:t>ResNet-50 achieves 88.6% AUROC, demonstrating robust separation across varying clinical decision thresholds.</w:t>
      </w:r>
    </w:p>
    <w:p>
      <w:pPr>
        <w:spacing w:line="240" w:lineRule="auto" w:before="0" w:after="0"/>
        <w:ind w:firstLine="202"/>
        <w:jc w:val="both"/>
      </w:pPr>
      <w:r>
        <w:rPr>
          <w:rFonts w:ascii="Times New Roman" w:hAnsi="Times New Roman"/>
          <w:b/>
          <w:color w:val="000000"/>
          <w:sz w:val="19"/>
        </w:rPr>
        <w:t xml:space="preserve">• Clinical Metric Balance: </w:t>
      </w:r>
      <w:r>
        <w:rPr>
          <w:rFonts w:ascii="Times New Roman" w:hAnsi="Times New Roman"/>
          <w:color w:val="000000"/>
          <w:sz w:val="19"/>
        </w:rPr>
        <w:t>ResNet-50 delivers 80.8% Sensitivity (minimizing false negatives in clinical triage) and 84.0% Specificity (minimizing false positive parental anxiety).</w:t>
      </w:r>
    </w:p>
    <w:p>
      <w:pPr>
        <w:spacing w:line="240" w:lineRule="auto" w:before="0" w:after="0"/>
        <w:ind w:firstLine="202"/>
        <w:jc w:val="both"/>
      </w:pPr>
      <w:r>
        <w:rPr>
          <w:rFonts w:ascii="Times New Roman" w:hAnsi="Times New Roman"/>
          <w:b/>
          <w:color w:val="000000"/>
          <w:sz w:val="19"/>
        </w:rPr>
        <w:t xml:space="preserve">• Efficiency Tradeoff: </w:t>
      </w:r>
      <w:r>
        <w:rPr>
          <w:rFonts w:ascii="Times New Roman" w:hAnsi="Times New Roman"/>
          <w:color w:val="000000"/>
          <w:sz w:val="19"/>
        </w:rPr>
        <w:t>Although MobileNet-V2 possesses the smallest parameter footprint (3.5M, 32 ms), its accuracy lags by 6.0%. Conversely, while VGG-19 contains over 5.6× more parameters (143.6M vs. 25.6M) and exhibits 3× higher latency (125 ms vs. 42 ms), its test accuracy is 2.9% lower. Residual identity connections enable deeper, more discriminative feature extraction than parameter proliferation.</w:t>
      </w:r>
    </w:p>
    <w:p>
      <w:pPr>
        <w:keepNext/>
        <w:spacing w:before="120" w:after="40"/>
        <w:jc w:val="left"/>
      </w:pPr>
      <w:r>
        <w:rPr>
          <w:rFonts w:ascii="Times New Roman" w:hAnsi="Times New Roman"/>
          <w:b/>
          <w:i/>
          <w:color w:val="000000"/>
          <w:sz w:val="19"/>
        </w:rPr>
        <w:t>C. Comparison with State-of-the-Art Approaches</w:t>
      </w:r>
    </w:p>
    <w:p>
      <w:pPr>
        <w:spacing w:line="240" w:lineRule="auto" w:before="0" w:after="0"/>
        <w:ind w:firstLine="202"/>
        <w:jc w:val="both"/>
      </w:pPr>
      <w:r>
        <w:rPr>
          <w:rFonts w:ascii="Times New Roman" w:hAnsi="Times New Roman"/>
          <w:color w:val="000000"/>
          <w:sz w:val="19"/>
        </w:rPr>
        <w:t>Table IV benchmarks our ResNet-50 pipeline against published neuroimaging (fMRI) models and prior photographic deep learning studies.</w:t>
      </w:r>
    </w:p>
    <w:p>
      <w:pPr>
        <w:spacing w:before="120" w:after="40"/>
        <w:jc w:val="center"/>
      </w:pPr>
      <w:r>
        <w:rPr>
          <w:rFonts w:ascii="Times New Roman" w:hAnsi="Times New Roman"/>
          <w:b/>
          <w:sz w:val="17"/>
        </w:rPr>
        <w:t>TABLE IV</w:t>
        <w:br/>
      </w:r>
      <w:r>
        <w:rPr>
          <w:rFonts w:ascii="Times New Roman" w:hAnsi="Times New Roman"/>
          <w:b/>
          <w:sz w:val="16"/>
        </w:rPr>
        <w:t>COMPARISON WITH STATE-OF-THE-ART ASD APPROACHES</w:t>
      </w:r>
    </w:p>
    <w:tbl>
      <w:tblPr>
        <w:tblW w:type="auto" w:w="0"/>
        <w:jc w:val="center"/>
        <w:tblLayout w:type="fixed"/>
        <w:tblLook w:firstColumn="1" w:firstRow="1" w:lastColumn="0" w:lastRow="0" w:noHBand="0" w:noVBand="1" w:val="04A0"/>
        <w:tblBorders>
          <w:top w:val="single" w:sz="12" w:space="0" w:color="000000"/>
          <w:bottom w:val="single" w:sz="12" w:space="0" w:color="000000"/>
          <w:insideH w:val="single" w:sz="4" w:space="0" w:color="64748B"/>
          <w:insideV w:val="none"/>
          <w:left w:val="none"/>
          <w:right w:val="none"/>
        </w:tblBorders>
      </w:tblPr>
      <w:tblGrid>
        <w:gridCol w:w="2610"/>
        <w:gridCol w:w="2610"/>
        <w:gridCol w:w="2610"/>
        <w:gridCol w:w="2610"/>
      </w:tblGrid>
      <w:tr>
        <w:tc>
          <w:tcPr>
            <w:tcW w:type="dxa" w:w="1728"/>
            <w:vAlign w:val="center"/>
            <w:tcMar>
              <w:top w:w="20" w:type="dxa"/>
              <w:bottom w:w="20" w:type="dxa"/>
              <w:left w:w="25" w:type="dxa"/>
              <w:right w:w="25" w:type="dxa"/>
            </w:tcMar>
            <w:shd w:fill="F1F5F9"/>
          </w:tcPr>
          <w:p>
            <w:pPr>
              <w:spacing w:before="0" w:after="0"/>
              <w:jc w:val="left"/>
            </w:pPr>
            <w:r>
              <w:rPr>
                <w:rFonts w:ascii="Times New Roman" w:hAnsi="Times New Roman"/>
                <w:b/>
                <w:sz w:val="15"/>
              </w:rPr>
              <w:t>Investigation</w:t>
            </w:r>
          </w:p>
        </w:tc>
        <w:tc>
          <w:tcPr>
            <w:tcW w:type="dxa" w:w="936"/>
            <w:vAlign w:val="center"/>
            <w:tcMar>
              <w:top w:w="20" w:type="dxa"/>
              <w:bottom w:w="20" w:type="dxa"/>
              <w:left w:w="25" w:type="dxa"/>
              <w:right w:w="25" w:type="dxa"/>
            </w:tcMar>
            <w:shd w:fill="F1F5F9"/>
          </w:tcPr>
          <w:p>
            <w:pPr>
              <w:spacing w:before="0" w:after="0"/>
              <w:jc w:val="center"/>
            </w:pPr>
            <w:r>
              <w:rPr>
                <w:rFonts w:ascii="Times New Roman" w:hAnsi="Times New Roman"/>
                <w:b/>
                <w:sz w:val="15"/>
              </w:rPr>
              <w:t>Modality</w:t>
            </w:r>
          </w:p>
        </w:tc>
        <w:tc>
          <w:tcPr>
            <w:tcW w:type="dxa" w:w="1080"/>
            <w:vAlign w:val="center"/>
            <w:tcMar>
              <w:top w:w="20" w:type="dxa"/>
              <w:bottom w:w="20" w:type="dxa"/>
              <w:left w:w="25" w:type="dxa"/>
              <w:right w:w="25" w:type="dxa"/>
            </w:tcMar>
            <w:shd w:fill="F1F5F9"/>
          </w:tcPr>
          <w:p>
            <w:pPr>
              <w:spacing w:before="0" w:after="0"/>
              <w:jc w:val="center"/>
            </w:pPr>
            <w:r>
              <w:rPr>
                <w:rFonts w:ascii="Times New Roman" w:hAnsi="Times New Roman"/>
                <w:b/>
                <w:sz w:val="15"/>
              </w:rPr>
              <w:t>Latency</w:t>
            </w:r>
          </w:p>
        </w:tc>
        <w:tc>
          <w:tcPr>
            <w:tcW w:type="dxa" w:w="1296"/>
            <w:vAlign w:val="center"/>
            <w:tcMar>
              <w:top w:w="20" w:type="dxa"/>
              <w:bottom w:w="20" w:type="dxa"/>
              <w:left w:w="25" w:type="dxa"/>
              <w:right w:w="25" w:type="dxa"/>
            </w:tcMar>
            <w:shd w:fill="F1F5F9"/>
          </w:tcPr>
          <w:p>
            <w:pPr>
              <w:spacing w:before="0" w:after="0"/>
              <w:jc w:val="center"/>
            </w:pPr>
            <w:r>
              <w:rPr>
                <w:rFonts w:ascii="Times New Roman" w:hAnsi="Times New Roman"/>
                <w:b/>
                <w:sz w:val="15"/>
              </w:rPr>
              <w:t>Acc. / AUROC</w:t>
            </w:r>
          </w:p>
        </w:tc>
      </w:tr>
      <w:tr>
        <w:tc>
          <w:tcPr>
            <w:tcW w:type="dxa" w:w="1728"/>
            <w:vAlign w:val="center"/>
            <w:tcMar>
              <w:top w:w="20" w:type="dxa"/>
              <w:bottom w:w="20" w:type="dxa"/>
              <w:left w:w="25" w:type="dxa"/>
              <w:right w:w="25" w:type="dxa"/>
            </w:tcMar>
            <w:shd w:fill="FFFFFF"/>
          </w:tcPr>
          <w:p>
            <w:pPr>
              <w:spacing w:before="0" w:after="0"/>
              <w:jc w:val="left"/>
            </w:pPr>
            <w:r>
              <w:rPr>
                <w:rFonts w:ascii="Times New Roman" w:hAnsi="Times New Roman"/>
                <w:sz w:val="15"/>
              </w:rPr>
              <w:t>Heinsfeld et al. [18]</w:t>
            </w:r>
          </w:p>
        </w:tc>
        <w:tc>
          <w:tcPr>
            <w:tcW w:type="dxa" w:w="936"/>
            <w:vAlign w:val="center"/>
            <w:tcMar>
              <w:top w:w="20" w:type="dxa"/>
              <w:bottom w:w="20" w:type="dxa"/>
              <w:left w:w="25" w:type="dxa"/>
              <w:right w:w="25" w:type="dxa"/>
            </w:tcMar>
            <w:shd w:fill="FFFFFF"/>
          </w:tcPr>
          <w:p>
            <w:pPr>
              <w:spacing w:before="0" w:after="0"/>
              <w:jc w:val="center"/>
            </w:pPr>
            <w:r>
              <w:rPr>
                <w:rFonts w:ascii="Times New Roman" w:hAnsi="Times New Roman"/>
                <w:sz w:val="15"/>
              </w:rPr>
              <w:t>rs-fMRI</w:t>
            </w:r>
          </w:p>
        </w:tc>
        <w:tc>
          <w:tcPr>
            <w:tcW w:type="dxa" w:w="1080"/>
            <w:vAlign w:val="center"/>
            <w:tcMar>
              <w:top w:w="20" w:type="dxa"/>
              <w:bottom w:w="20" w:type="dxa"/>
              <w:left w:w="25" w:type="dxa"/>
              <w:right w:w="25" w:type="dxa"/>
            </w:tcMar>
            <w:shd w:fill="FFFFFF"/>
          </w:tcPr>
          <w:p>
            <w:pPr>
              <w:spacing w:before="0" w:after="0"/>
              <w:jc w:val="center"/>
            </w:pPr>
            <w:r>
              <w:rPr>
                <w:rFonts w:ascii="Times New Roman" w:hAnsi="Times New Roman"/>
                <w:sz w:val="15"/>
              </w:rPr>
              <w:t>15–30 min</w:t>
            </w:r>
          </w:p>
        </w:tc>
        <w:tc>
          <w:tcPr>
            <w:tcW w:type="dxa" w:w="1296"/>
            <w:vAlign w:val="center"/>
            <w:tcMar>
              <w:top w:w="20" w:type="dxa"/>
              <w:bottom w:w="20" w:type="dxa"/>
              <w:left w:w="25" w:type="dxa"/>
              <w:right w:w="25" w:type="dxa"/>
            </w:tcMar>
            <w:shd w:fill="FFFFFF"/>
          </w:tcPr>
          <w:p>
            <w:pPr>
              <w:spacing w:before="0" w:after="0"/>
              <w:jc w:val="center"/>
            </w:pPr>
            <w:r>
              <w:rPr>
                <w:rFonts w:ascii="Times New Roman" w:hAnsi="Times New Roman"/>
                <w:sz w:val="15"/>
              </w:rPr>
              <w:t>70.0% / —</w:t>
            </w:r>
          </w:p>
        </w:tc>
      </w:tr>
      <w:tr>
        <w:tc>
          <w:tcPr>
            <w:tcW w:type="dxa" w:w="1728"/>
            <w:vAlign w:val="center"/>
            <w:tcMar>
              <w:top w:w="20" w:type="dxa"/>
              <w:bottom w:w="20" w:type="dxa"/>
              <w:left w:w="25" w:type="dxa"/>
              <w:right w:w="25" w:type="dxa"/>
            </w:tcMar>
            <w:shd w:fill="FFFFFF"/>
          </w:tcPr>
          <w:p>
            <w:pPr>
              <w:spacing w:before="0" w:after="0"/>
              <w:jc w:val="left"/>
            </w:pPr>
            <w:r>
              <w:rPr>
                <w:rFonts w:ascii="Times New Roman" w:hAnsi="Times New Roman"/>
                <w:sz w:val="15"/>
              </w:rPr>
              <w:t>Singh et al. [19]</w:t>
            </w:r>
          </w:p>
        </w:tc>
        <w:tc>
          <w:tcPr>
            <w:tcW w:type="dxa" w:w="936"/>
            <w:vAlign w:val="center"/>
            <w:tcMar>
              <w:top w:w="20" w:type="dxa"/>
              <w:bottom w:w="20" w:type="dxa"/>
              <w:left w:w="25" w:type="dxa"/>
              <w:right w:w="25" w:type="dxa"/>
            </w:tcMar>
            <w:shd w:fill="FFFFFF"/>
          </w:tcPr>
          <w:p>
            <w:pPr>
              <w:spacing w:before="0" w:after="0"/>
              <w:jc w:val="center"/>
            </w:pPr>
            <w:r>
              <w:rPr>
                <w:rFonts w:ascii="Times New Roman" w:hAnsi="Times New Roman"/>
                <w:sz w:val="15"/>
              </w:rPr>
              <w:t>rs-fMRI</w:t>
            </w:r>
          </w:p>
        </w:tc>
        <w:tc>
          <w:tcPr>
            <w:tcW w:type="dxa" w:w="1080"/>
            <w:vAlign w:val="center"/>
            <w:tcMar>
              <w:top w:w="20" w:type="dxa"/>
              <w:bottom w:w="20" w:type="dxa"/>
              <w:left w:w="25" w:type="dxa"/>
              <w:right w:w="25" w:type="dxa"/>
            </w:tcMar>
            <w:shd w:fill="FFFFFF"/>
          </w:tcPr>
          <w:p>
            <w:pPr>
              <w:spacing w:before="0" w:after="0"/>
              <w:jc w:val="center"/>
            </w:pPr>
            <w:r>
              <w:rPr>
                <w:rFonts w:ascii="Times New Roman" w:hAnsi="Times New Roman"/>
                <w:sz w:val="15"/>
              </w:rPr>
              <w:t>15–30 min</w:t>
            </w:r>
          </w:p>
        </w:tc>
        <w:tc>
          <w:tcPr>
            <w:tcW w:type="dxa" w:w="1296"/>
            <w:vAlign w:val="center"/>
            <w:tcMar>
              <w:top w:w="20" w:type="dxa"/>
              <w:bottom w:w="20" w:type="dxa"/>
              <w:left w:w="25" w:type="dxa"/>
              <w:right w:w="25" w:type="dxa"/>
            </w:tcMar>
            <w:shd w:fill="FFFFFF"/>
          </w:tcPr>
          <w:p>
            <w:pPr>
              <w:spacing w:before="0" w:after="0"/>
              <w:jc w:val="center"/>
            </w:pPr>
            <w:r>
              <w:rPr>
                <w:rFonts w:ascii="Times New Roman" w:hAnsi="Times New Roman"/>
                <w:sz w:val="15"/>
              </w:rPr>
              <w:t>78.1% / 83.9%</w:t>
            </w:r>
          </w:p>
        </w:tc>
      </w:tr>
      <w:tr>
        <w:tc>
          <w:tcPr>
            <w:tcW w:type="dxa" w:w="1728"/>
            <w:vAlign w:val="center"/>
            <w:tcMar>
              <w:top w:w="20" w:type="dxa"/>
              <w:bottom w:w="20" w:type="dxa"/>
              <w:left w:w="25" w:type="dxa"/>
              <w:right w:w="25" w:type="dxa"/>
            </w:tcMar>
            <w:shd w:fill="FFFFFF"/>
          </w:tcPr>
          <w:p>
            <w:pPr>
              <w:spacing w:before="0" w:after="0"/>
              <w:jc w:val="left"/>
            </w:pPr>
            <w:r>
              <w:rPr>
                <w:rFonts w:ascii="Times New Roman" w:hAnsi="Times New Roman"/>
                <w:sz w:val="15"/>
              </w:rPr>
              <w:t>Gaddala et al. [5]</w:t>
            </w:r>
          </w:p>
        </w:tc>
        <w:tc>
          <w:tcPr>
            <w:tcW w:type="dxa" w:w="936"/>
            <w:vAlign w:val="center"/>
            <w:tcMar>
              <w:top w:w="20" w:type="dxa"/>
              <w:bottom w:w="20" w:type="dxa"/>
              <w:left w:w="25" w:type="dxa"/>
              <w:right w:w="25" w:type="dxa"/>
            </w:tcMar>
            <w:shd w:fill="FFFFFF"/>
          </w:tcPr>
          <w:p>
            <w:pPr>
              <w:spacing w:before="0" w:after="0"/>
              <w:jc w:val="center"/>
            </w:pPr>
            <w:r>
              <w:rPr>
                <w:rFonts w:ascii="Times New Roman" w:hAnsi="Times New Roman"/>
                <w:sz w:val="15"/>
              </w:rPr>
              <w:t>2D Photos</w:t>
            </w:r>
          </w:p>
        </w:tc>
        <w:tc>
          <w:tcPr>
            <w:tcW w:type="dxa" w:w="1080"/>
            <w:vAlign w:val="center"/>
            <w:tcMar>
              <w:top w:w="20" w:type="dxa"/>
              <w:bottom w:w="20" w:type="dxa"/>
              <w:left w:w="25" w:type="dxa"/>
              <w:right w:w="25" w:type="dxa"/>
            </w:tcMar>
            <w:shd w:fill="FFFFFF"/>
          </w:tcPr>
          <w:p>
            <w:pPr>
              <w:spacing w:before="0" w:after="0"/>
              <w:jc w:val="center"/>
            </w:pPr>
            <w:r>
              <w:rPr>
                <w:rFonts w:ascii="Times New Roman" w:hAnsi="Times New Roman"/>
                <w:sz w:val="15"/>
              </w:rPr>
              <w:t>~110 ms</w:t>
            </w:r>
          </w:p>
        </w:tc>
        <w:tc>
          <w:tcPr>
            <w:tcW w:type="dxa" w:w="1296"/>
            <w:vAlign w:val="center"/>
            <w:tcMar>
              <w:top w:w="20" w:type="dxa"/>
              <w:bottom w:w="20" w:type="dxa"/>
              <w:left w:w="25" w:type="dxa"/>
              <w:right w:w="25" w:type="dxa"/>
            </w:tcMar>
            <w:shd w:fill="FFFFFF"/>
          </w:tcPr>
          <w:p>
            <w:pPr>
              <w:spacing w:before="0" w:after="0"/>
              <w:jc w:val="center"/>
            </w:pPr>
            <w:r>
              <w:rPr>
                <w:rFonts w:ascii="Times New Roman" w:hAnsi="Times New Roman"/>
                <w:sz w:val="15"/>
              </w:rPr>
              <w:t>86.3% / —</w:t>
            </w:r>
          </w:p>
        </w:tc>
      </w:tr>
      <w:tr>
        <w:tc>
          <w:tcPr>
            <w:tcW w:type="dxa" w:w="1728"/>
            <w:vAlign w:val="center"/>
            <w:tcMar>
              <w:top w:w="20" w:type="dxa"/>
              <w:bottom w:w="20" w:type="dxa"/>
              <w:left w:w="25" w:type="dxa"/>
              <w:right w:w="25" w:type="dxa"/>
            </w:tcMar>
            <w:shd w:fill="FFFFFF"/>
          </w:tcPr>
          <w:p>
            <w:pPr>
              <w:spacing w:before="0" w:after="0"/>
              <w:jc w:val="left"/>
            </w:pPr>
            <w:r>
              <w:rPr>
                <w:rFonts w:ascii="Times New Roman" w:hAnsi="Times New Roman"/>
                <w:sz w:val="15"/>
              </w:rPr>
              <w:t>Akter et al. [4]</w:t>
            </w:r>
          </w:p>
        </w:tc>
        <w:tc>
          <w:tcPr>
            <w:tcW w:type="dxa" w:w="936"/>
            <w:vAlign w:val="center"/>
            <w:tcMar>
              <w:top w:w="20" w:type="dxa"/>
              <w:bottom w:w="20" w:type="dxa"/>
              <w:left w:w="25" w:type="dxa"/>
              <w:right w:w="25" w:type="dxa"/>
            </w:tcMar>
            <w:shd w:fill="FFFFFF"/>
          </w:tcPr>
          <w:p>
            <w:pPr>
              <w:spacing w:before="0" w:after="0"/>
              <w:jc w:val="center"/>
            </w:pPr>
            <w:r>
              <w:rPr>
                <w:rFonts w:ascii="Times New Roman" w:hAnsi="Times New Roman"/>
                <w:sz w:val="15"/>
              </w:rPr>
              <w:t>2D Photos</w:t>
            </w:r>
          </w:p>
        </w:tc>
        <w:tc>
          <w:tcPr>
            <w:tcW w:type="dxa" w:w="1080"/>
            <w:vAlign w:val="center"/>
            <w:tcMar>
              <w:top w:w="20" w:type="dxa"/>
              <w:bottom w:w="20" w:type="dxa"/>
              <w:left w:w="25" w:type="dxa"/>
              <w:right w:w="25" w:type="dxa"/>
            </w:tcMar>
            <w:shd w:fill="FFFFFF"/>
          </w:tcPr>
          <w:p>
            <w:pPr>
              <w:spacing w:before="0" w:after="0"/>
              <w:jc w:val="center"/>
            </w:pPr>
            <w:r>
              <w:rPr>
                <w:rFonts w:ascii="Times New Roman" w:hAnsi="Times New Roman"/>
                <w:sz w:val="15"/>
              </w:rPr>
              <w:t>~30 ms</w:t>
            </w:r>
          </w:p>
        </w:tc>
        <w:tc>
          <w:tcPr>
            <w:tcW w:type="dxa" w:w="1296"/>
            <w:vAlign w:val="center"/>
            <w:tcMar>
              <w:top w:w="20" w:type="dxa"/>
              <w:bottom w:w="20" w:type="dxa"/>
              <w:left w:w="25" w:type="dxa"/>
              <w:right w:w="25" w:type="dxa"/>
            </w:tcMar>
            <w:shd w:fill="FFFFFF"/>
          </w:tcPr>
          <w:p>
            <w:pPr>
              <w:spacing w:before="0" w:after="0"/>
              <w:jc w:val="center"/>
            </w:pPr>
            <w:r>
              <w:rPr>
                <w:rFonts w:ascii="Times New Roman" w:hAnsi="Times New Roman"/>
                <w:sz w:val="15"/>
              </w:rPr>
              <w:t>90.7% / —</w:t>
            </w:r>
          </w:p>
        </w:tc>
      </w:tr>
      <w:tr>
        <w:tc>
          <w:tcPr>
            <w:tcW w:type="dxa" w:w="1728"/>
            <w:vAlign w:val="center"/>
            <w:tcMar>
              <w:top w:w="20" w:type="dxa"/>
              <w:bottom w:w="20" w:type="dxa"/>
              <w:left w:w="25" w:type="dxa"/>
              <w:right w:w="25" w:type="dxa"/>
            </w:tcMar>
            <w:shd w:fill="FFFFFF"/>
          </w:tcPr>
          <w:p>
            <w:pPr>
              <w:spacing w:before="0" w:after="0"/>
              <w:jc w:val="left"/>
            </w:pPr>
            <w:r>
              <w:rPr>
                <w:rFonts w:ascii="Times New Roman" w:hAnsi="Times New Roman"/>
                <w:sz w:val="15"/>
              </w:rPr>
              <w:t>Alkahtani et al. [7]</w:t>
            </w:r>
          </w:p>
        </w:tc>
        <w:tc>
          <w:tcPr>
            <w:tcW w:type="dxa" w:w="936"/>
            <w:vAlign w:val="center"/>
            <w:tcMar>
              <w:top w:w="20" w:type="dxa"/>
              <w:bottom w:w="20" w:type="dxa"/>
              <w:left w:w="25" w:type="dxa"/>
              <w:right w:w="25" w:type="dxa"/>
            </w:tcMar>
            <w:shd w:fill="FFFFFF"/>
          </w:tcPr>
          <w:p>
            <w:pPr>
              <w:spacing w:before="0" w:after="0"/>
              <w:jc w:val="center"/>
            </w:pPr>
            <w:r>
              <w:rPr>
                <w:rFonts w:ascii="Times New Roman" w:hAnsi="Times New Roman"/>
                <w:sz w:val="15"/>
              </w:rPr>
              <w:t>2D Photos</w:t>
            </w:r>
          </w:p>
        </w:tc>
        <w:tc>
          <w:tcPr>
            <w:tcW w:type="dxa" w:w="1080"/>
            <w:vAlign w:val="center"/>
            <w:tcMar>
              <w:top w:w="20" w:type="dxa"/>
              <w:bottom w:w="20" w:type="dxa"/>
              <w:left w:w="25" w:type="dxa"/>
              <w:right w:w="25" w:type="dxa"/>
            </w:tcMar>
            <w:shd w:fill="FFFFFF"/>
          </w:tcPr>
          <w:p>
            <w:pPr>
              <w:spacing w:before="0" w:after="0"/>
              <w:jc w:val="center"/>
            </w:pPr>
            <w:r>
              <w:rPr>
                <w:rFonts w:ascii="Times New Roman" w:hAnsi="Times New Roman"/>
                <w:sz w:val="15"/>
              </w:rPr>
              <w:t>~32 ms</w:t>
            </w:r>
          </w:p>
        </w:tc>
        <w:tc>
          <w:tcPr>
            <w:tcW w:type="dxa" w:w="1296"/>
            <w:vAlign w:val="center"/>
            <w:tcMar>
              <w:top w:w="20" w:type="dxa"/>
              <w:bottom w:w="20" w:type="dxa"/>
              <w:left w:w="25" w:type="dxa"/>
              <w:right w:w="25" w:type="dxa"/>
            </w:tcMar>
            <w:shd w:fill="FFFFFF"/>
          </w:tcPr>
          <w:p>
            <w:pPr>
              <w:spacing w:before="0" w:after="0"/>
              <w:jc w:val="center"/>
            </w:pPr>
            <w:r>
              <w:rPr>
                <w:rFonts w:ascii="Times New Roman" w:hAnsi="Times New Roman"/>
                <w:sz w:val="15"/>
              </w:rPr>
              <w:t>92.0% / —</w:t>
            </w:r>
          </w:p>
        </w:tc>
      </w:tr>
      <w:tr>
        <w:tc>
          <w:tcPr>
            <w:tcW w:type="dxa" w:w="1728"/>
            <w:vAlign w:val="center"/>
            <w:tcMar>
              <w:top w:w="20" w:type="dxa"/>
              <w:bottom w:w="20" w:type="dxa"/>
              <w:left w:w="25" w:type="dxa"/>
              <w:right w:w="25" w:type="dxa"/>
            </w:tcMar>
            <w:shd w:fill="FFFFFF"/>
          </w:tcPr>
          <w:p>
            <w:pPr>
              <w:spacing w:before="0" w:after="0"/>
              <w:jc w:val="left"/>
            </w:pPr>
            <w:r>
              <w:rPr>
                <w:rFonts w:ascii="Times New Roman" w:hAnsi="Times New Roman"/>
                <w:sz w:val="15"/>
              </w:rPr>
              <w:t>Revathi et al. [3]</w:t>
            </w:r>
          </w:p>
        </w:tc>
        <w:tc>
          <w:tcPr>
            <w:tcW w:type="dxa" w:w="936"/>
            <w:vAlign w:val="center"/>
            <w:tcMar>
              <w:top w:w="20" w:type="dxa"/>
              <w:bottom w:w="20" w:type="dxa"/>
              <w:left w:w="25" w:type="dxa"/>
              <w:right w:w="25" w:type="dxa"/>
            </w:tcMar>
            <w:shd w:fill="FFFFFF"/>
          </w:tcPr>
          <w:p>
            <w:pPr>
              <w:spacing w:before="0" w:after="0"/>
              <w:jc w:val="center"/>
            </w:pPr>
            <w:r>
              <w:rPr>
                <w:rFonts w:ascii="Times New Roman" w:hAnsi="Times New Roman"/>
                <w:sz w:val="15"/>
              </w:rPr>
              <w:t>2D Photos</w:t>
            </w:r>
          </w:p>
        </w:tc>
        <w:tc>
          <w:tcPr>
            <w:tcW w:type="dxa" w:w="1080"/>
            <w:vAlign w:val="center"/>
            <w:tcMar>
              <w:top w:w="20" w:type="dxa"/>
              <w:bottom w:w="20" w:type="dxa"/>
              <w:left w:w="25" w:type="dxa"/>
              <w:right w:w="25" w:type="dxa"/>
            </w:tcMar>
            <w:shd w:fill="FFFFFF"/>
          </w:tcPr>
          <w:p>
            <w:pPr>
              <w:spacing w:before="0" w:after="0"/>
              <w:jc w:val="center"/>
            </w:pPr>
            <w:r>
              <w:rPr>
                <w:rFonts w:ascii="Times New Roman" w:hAnsi="Times New Roman"/>
                <w:sz w:val="15"/>
              </w:rPr>
              <w:t>~95 ms</w:t>
            </w:r>
          </w:p>
        </w:tc>
        <w:tc>
          <w:tcPr>
            <w:tcW w:type="dxa" w:w="1296"/>
            <w:vAlign w:val="center"/>
            <w:tcMar>
              <w:top w:w="20" w:type="dxa"/>
              <w:bottom w:w="20" w:type="dxa"/>
              <w:left w:w="25" w:type="dxa"/>
              <w:right w:w="25" w:type="dxa"/>
            </w:tcMar>
            <w:shd w:fill="FFFFFF"/>
          </w:tcPr>
          <w:p>
            <w:pPr>
              <w:spacing w:before="0" w:after="0"/>
              <w:jc w:val="center"/>
            </w:pPr>
            <w:r>
              <w:rPr>
                <w:rFonts w:ascii="Times New Roman" w:hAnsi="Times New Roman"/>
                <w:sz w:val="15"/>
              </w:rPr>
              <w:t>92.0% / 96.7%</w:t>
            </w:r>
          </w:p>
        </w:tc>
      </w:tr>
      <w:tr>
        <w:tc>
          <w:tcPr>
            <w:tcW w:type="dxa" w:w="1728"/>
            <w:vAlign w:val="center"/>
            <w:tcMar>
              <w:top w:w="20" w:type="dxa"/>
              <w:bottom w:w="20" w:type="dxa"/>
              <w:left w:w="25" w:type="dxa"/>
              <w:right w:w="25" w:type="dxa"/>
            </w:tcMar>
            <w:shd w:fill="FFFFFF"/>
          </w:tcPr>
          <w:p>
            <w:pPr>
              <w:spacing w:before="0" w:after="0"/>
              <w:jc w:val="left"/>
            </w:pPr>
            <w:r>
              <w:rPr>
                <w:rFonts w:ascii="Times New Roman" w:hAnsi="Times New Roman"/>
                <w:sz w:val="15"/>
              </w:rPr>
              <w:t>Lu &amp; Perkowski [6]</w:t>
            </w:r>
          </w:p>
        </w:tc>
        <w:tc>
          <w:tcPr>
            <w:tcW w:type="dxa" w:w="936"/>
            <w:vAlign w:val="center"/>
            <w:tcMar>
              <w:top w:w="20" w:type="dxa"/>
              <w:bottom w:w="20" w:type="dxa"/>
              <w:left w:w="25" w:type="dxa"/>
              <w:right w:w="25" w:type="dxa"/>
            </w:tcMar>
            <w:shd w:fill="FFFFFF"/>
          </w:tcPr>
          <w:p>
            <w:pPr>
              <w:spacing w:before="0" w:after="0"/>
              <w:jc w:val="center"/>
            </w:pPr>
            <w:r>
              <w:rPr>
                <w:rFonts w:ascii="Times New Roman" w:hAnsi="Times New Roman"/>
                <w:sz w:val="15"/>
              </w:rPr>
              <w:t>2D Photos</w:t>
            </w:r>
          </w:p>
        </w:tc>
        <w:tc>
          <w:tcPr>
            <w:tcW w:type="dxa" w:w="1080"/>
            <w:vAlign w:val="center"/>
            <w:tcMar>
              <w:top w:w="20" w:type="dxa"/>
              <w:bottom w:w="20" w:type="dxa"/>
              <w:left w:w="25" w:type="dxa"/>
              <w:right w:w="25" w:type="dxa"/>
            </w:tcMar>
            <w:shd w:fill="FFFFFF"/>
          </w:tcPr>
          <w:p>
            <w:pPr>
              <w:spacing w:before="0" w:after="0"/>
              <w:jc w:val="center"/>
            </w:pPr>
            <w:r>
              <w:rPr>
                <w:rFonts w:ascii="Times New Roman" w:hAnsi="Times New Roman"/>
                <w:sz w:val="15"/>
              </w:rPr>
              <w:t>~110 ms</w:t>
            </w:r>
          </w:p>
        </w:tc>
        <w:tc>
          <w:tcPr>
            <w:tcW w:type="dxa" w:w="1296"/>
            <w:vAlign w:val="center"/>
            <w:tcMar>
              <w:top w:w="20" w:type="dxa"/>
              <w:bottom w:w="20" w:type="dxa"/>
              <w:left w:w="25" w:type="dxa"/>
              <w:right w:w="25" w:type="dxa"/>
            </w:tcMar>
            <w:shd w:fill="FFFFFF"/>
          </w:tcPr>
          <w:p>
            <w:pPr>
              <w:spacing w:before="0" w:after="0"/>
              <w:jc w:val="center"/>
            </w:pPr>
            <w:r>
              <w:rPr>
                <w:rFonts w:ascii="Times New Roman" w:hAnsi="Times New Roman"/>
                <w:sz w:val="15"/>
              </w:rPr>
              <w:t>95.0% / —</w:t>
            </w:r>
          </w:p>
        </w:tc>
      </w:tr>
      <w:tr>
        <w:tc>
          <w:tcPr>
            <w:tcW w:type="dxa" w:w="1728"/>
            <w:vAlign w:val="center"/>
            <w:tcMar>
              <w:top w:w="20" w:type="dxa"/>
              <w:bottom w:w="20" w:type="dxa"/>
              <w:left w:w="25" w:type="dxa"/>
              <w:right w:w="25" w:type="dxa"/>
            </w:tcMar>
            <w:shd w:fill="FFFFFF"/>
          </w:tcPr>
          <w:p>
            <w:pPr>
              <w:spacing w:before="0" w:after="0"/>
              <w:jc w:val="left"/>
            </w:pPr>
            <w:r>
              <w:rPr>
                <w:rFonts w:ascii="Times New Roman" w:hAnsi="Times New Roman"/>
                <w:sz w:val="15"/>
              </w:rPr>
              <w:t>Khan et al. [11]</w:t>
            </w:r>
          </w:p>
        </w:tc>
        <w:tc>
          <w:tcPr>
            <w:tcW w:type="dxa" w:w="936"/>
            <w:vAlign w:val="center"/>
            <w:tcMar>
              <w:top w:w="20" w:type="dxa"/>
              <w:bottom w:w="20" w:type="dxa"/>
              <w:left w:w="25" w:type="dxa"/>
              <w:right w:w="25" w:type="dxa"/>
            </w:tcMar>
            <w:shd w:fill="FFFFFF"/>
          </w:tcPr>
          <w:p>
            <w:pPr>
              <w:spacing w:before="0" w:after="0"/>
              <w:jc w:val="center"/>
            </w:pPr>
            <w:r>
              <w:rPr>
                <w:rFonts w:ascii="Times New Roman" w:hAnsi="Times New Roman"/>
                <w:sz w:val="15"/>
              </w:rPr>
              <w:t>2D Photos</w:t>
            </w:r>
          </w:p>
        </w:tc>
        <w:tc>
          <w:tcPr>
            <w:tcW w:type="dxa" w:w="1080"/>
            <w:vAlign w:val="center"/>
            <w:tcMar>
              <w:top w:w="20" w:type="dxa"/>
              <w:bottom w:w="20" w:type="dxa"/>
              <w:left w:w="25" w:type="dxa"/>
              <w:right w:w="25" w:type="dxa"/>
            </w:tcMar>
            <w:shd w:fill="FFFFFF"/>
          </w:tcPr>
          <w:p>
            <w:pPr>
              <w:spacing w:before="0" w:after="0"/>
              <w:jc w:val="center"/>
            </w:pPr>
            <w:r>
              <w:rPr>
                <w:rFonts w:ascii="Times New Roman" w:hAnsi="Times New Roman"/>
                <w:sz w:val="15"/>
              </w:rPr>
              <w:t>~45 ms</w:t>
            </w:r>
          </w:p>
        </w:tc>
        <w:tc>
          <w:tcPr>
            <w:tcW w:type="dxa" w:w="1296"/>
            <w:vAlign w:val="center"/>
            <w:tcMar>
              <w:top w:w="20" w:type="dxa"/>
              <w:bottom w:w="20" w:type="dxa"/>
              <w:left w:w="25" w:type="dxa"/>
              <w:right w:w="25" w:type="dxa"/>
            </w:tcMar>
            <w:shd w:fill="FFFFFF"/>
          </w:tcPr>
          <w:p>
            <w:pPr>
              <w:spacing w:before="0" w:after="0"/>
              <w:jc w:val="center"/>
            </w:pPr>
            <w:r>
              <w:rPr>
                <w:rFonts w:ascii="Times New Roman" w:hAnsi="Times New Roman"/>
                <w:sz w:val="15"/>
              </w:rPr>
              <w:t>96.0% / —</w:t>
            </w:r>
          </w:p>
        </w:tc>
      </w:tr>
      <w:tr>
        <w:tc>
          <w:tcPr>
            <w:tcW w:type="dxa" w:w="1728"/>
            <w:vAlign w:val="center"/>
            <w:tcMar>
              <w:top w:w="20" w:type="dxa"/>
              <w:bottom w:w="20" w:type="dxa"/>
              <w:left w:w="25" w:type="dxa"/>
              <w:right w:w="25" w:type="dxa"/>
            </w:tcMar>
            <w:shd w:fill="FFFFFF"/>
          </w:tcPr>
          <w:p>
            <w:pPr>
              <w:spacing w:before="0" w:after="0"/>
              <w:jc w:val="left"/>
            </w:pPr>
            <w:r>
              <w:rPr>
                <w:rFonts w:ascii="Times New Roman" w:hAnsi="Times New Roman"/>
                <w:sz w:val="15"/>
              </w:rPr>
              <w:t>Kaur et al. [15]</w:t>
            </w:r>
          </w:p>
        </w:tc>
        <w:tc>
          <w:tcPr>
            <w:tcW w:type="dxa" w:w="936"/>
            <w:vAlign w:val="center"/>
            <w:tcMar>
              <w:top w:w="20" w:type="dxa"/>
              <w:bottom w:w="20" w:type="dxa"/>
              <w:left w:w="25" w:type="dxa"/>
              <w:right w:w="25" w:type="dxa"/>
            </w:tcMar>
            <w:shd w:fill="FFFFFF"/>
          </w:tcPr>
          <w:p>
            <w:pPr>
              <w:spacing w:before="0" w:after="0"/>
              <w:jc w:val="center"/>
            </w:pPr>
            <w:r>
              <w:rPr>
                <w:rFonts w:ascii="Times New Roman" w:hAnsi="Times New Roman"/>
                <w:sz w:val="15"/>
              </w:rPr>
              <w:t>2D Photos</w:t>
            </w:r>
          </w:p>
        </w:tc>
        <w:tc>
          <w:tcPr>
            <w:tcW w:type="dxa" w:w="1080"/>
            <w:vAlign w:val="center"/>
            <w:tcMar>
              <w:top w:w="20" w:type="dxa"/>
              <w:bottom w:w="20" w:type="dxa"/>
              <w:left w:w="25" w:type="dxa"/>
              <w:right w:w="25" w:type="dxa"/>
            </w:tcMar>
            <w:shd w:fill="FFFFFF"/>
          </w:tcPr>
          <w:p>
            <w:pPr>
              <w:spacing w:before="0" w:after="0"/>
              <w:jc w:val="center"/>
            </w:pPr>
            <w:r>
              <w:rPr>
                <w:rFonts w:ascii="Times New Roman" w:hAnsi="Times New Roman"/>
                <w:sz w:val="15"/>
              </w:rPr>
              <w:t>~65 ms</w:t>
            </w:r>
          </w:p>
        </w:tc>
        <w:tc>
          <w:tcPr>
            <w:tcW w:type="dxa" w:w="1296"/>
            <w:vAlign w:val="center"/>
            <w:tcMar>
              <w:top w:w="20" w:type="dxa"/>
              <w:bottom w:w="20" w:type="dxa"/>
              <w:left w:w="25" w:type="dxa"/>
              <w:right w:w="25" w:type="dxa"/>
            </w:tcMar>
            <w:shd w:fill="FFFFFF"/>
          </w:tcPr>
          <w:p>
            <w:pPr>
              <w:spacing w:before="0" w:after="0"/>
              <w:jc w:val="center"/>
            </w:pPr>
            <w:r>
              <w:rPr>
                <w:rFonts w:ascii="Times New Roman" w:hAnsi="Times New Roman"/>
                <w:sz w:val="15"/>
              </w:rPr>
              <w:t>96.2% / —</w:t>
            </w:r>
          </w:p>
        </w:tc>
      </w:tr>
      <w:tr>
        <w:tc>
          <w:tcPr>
            <w:tcW w:type="dxa" w:w="1728"/>
            <w:vAlign w:val="center"/>
            <w:tcMar>
              <w:top w:w="20" w:type="dxa"/>
              <w:bottom w:w="20" w:type="dxa"/>
              <w:left w:w="25" w:type="dxa"/>
              <w:right w:w="25" w:type="dxa"/>
            </w:tcMar>
            <w:shd w:fill="F8FAFC"/>
          </w:tcPr>
          <w:p>
            <w:pPr>
              <w:spacing w:before="0" w:after="0"/>
              <w:jc w:val="left"/>
            </w:pPr>
            <w:r>
              <w:rPr>
                <w:rFonts w:ascii="Times New Roman" w:hAnsi="Times New Roman"/>
                <w:b/>
                <w:sz w:val="15"/>
              </w:rPr>
              <w:t>This Work (ResNet-50)</w:t>
            </w:r>
          </w:p>
        </w:tc>
        <w:tc>
          <w:tcPr>
            <w:tcW w:type="dxa" w:w="936"/>
            <w:vAlign w:val="center"/>
            <w:tcMar>
              <w:top w:w="20" w:type="dxa"/>
              <w:bottom w:w="20" w:type="dxa"/>
              <w:left w:w="25" w:type="dxa"/>
              <w:right w:w="25" w:type="dxa"/>
            </w:tcMar>
            <w:shd w:fill="F8FAFC"/>
          </w:tcPr>
          <w:p>
            <w:pPr>
              <w:spacing w:before="0" w:after="0"/>
              <w:jc w:val="center"/>
            </w:pPr>
            <w:r>
              <w:rPr>
                <w:rFonts w:ascii="Times New Roman" w:hAnsi="Times New Roman"/>
                <w:b/>
                <w:sz w:val="15"/>
              </w:rPr>
              <w:t>2D Photos</w:t>
            </w:r>
          </w:p>
        </w:tc>
        <w:tc>
          <w:tcPr>
            <w:tcW w:type="dxa" w:w="1080"/>
            <w:vAlign w:val="center"/>
            <w:tcMar>
              <w:top w:w="20" w:type="dxa"/>
              <w:bottom w:w="20" w:type="dxa"/>
              <w:left w:w="25" w:type="dxa"/>
              <w:right w:w="25" w:type="dxa"/>
            </w:tcMar>
            <w:shd w:fill="F8FAFC"/>
          </w:tcPr>
          <w:p>
            <w:pPr>
              <w:spacing w:before="0" w:after="0"/>
              <w:jc w:val="center"/>
            </w:pPr>
            <w:r>
              <w:rPr>
                <w:rFonts w:ascii="Times New Roman" w:hAnsi="Times New Roman"/>
                <w:b/>
                <w:sz w:val="15"/>
              </w:rPr>
              <w:t>&lt;45 ms</w:t>
            </w:r>
          </w:p>
        </w:tc>
        <w:tc>
          <w:tcPr>
            <w:tcW w:type="dxa" w:w="1296"/>
            <w:vAlign w:val="center"/>
            <w:tcMar>
              <w:top w:w="20" w:type="dxa"/>
              <w:bottom w:w="20" w:type="dxa"/>
              <w:left w:w="25" w:type="dxa"/>
              <w:right w:w="25" w:type="dxa"/>
            </w:tcMar>
            <w:shd w:fill="F8FAFC"/>
          </w:tcPr>
          <w:p>
            <w:pPr>
              <w:spacing w:before="0" w:after="0"/>
              <w:jc w:val="center"/>
            </w:pPr>
            <w:r>
              <w:rPr>
                <w:rFonts w:ascii="Times New Roman" w:hAnsi="Times New Roman"/>
                <w:b/>
                <w:sz w:val="15"/>
              </w:rPr>
              <w:t>82.4% / 88.6%</w:t>
            </w:r>
          </w:p>
        </w:tc>
      </w:tr>
    </w:tbl>
    <w:p>
      <w:pPr>
        <w:spacing w:line="240" w:lineRule="auto" w:before="0" w:after="0"/>
        <w:ind w:firstLine="202"/>
        <w:jc w:val="both"/>
      </w:pPr>
      <w:r>
        <w:rPr>
          <w:rFonts w:ascii="Times New Roman" w:hAnsi="Times New Roman"/>
          <w:color w:val="000000"/>
          <w:sz w:val="19"/>
        </w:rPr>
        <w:t>As shown in Table IV, our photographic ResNet-50 pipeline provides an authentic standardized benchmark across 5,772 multi-center images, eliminating acoustic trauma, scanner confinement, and sedation hazards while achieving sub-45ms latency.</w:t>
      </w:r>
    </w:p>
    <w:p>
      <w:pPr>
        <w:keepNext/>
        <w:spacing w:before="160" w:after="60"/>
        <w:jc w:val="center"/>
      </w:pPr>
      <w:r>
        <w:rPr>
          <w:rFonts w:ascii="Times New Roman" w:hAnsi="Times New Roman"/>
          <w:b/>
          <w:color w:val="000000"/>
          <w:sz w:val="20"/>
        </w:rPr>
        <w:t>V.  DISCUSSION</w:t>
      </w:r>
    </w:p>
    <w:p>
      <w:pPr>
        <w:keepNext/>
        <w:spacing w:before="120" w:after="40"/>
        <w:jc w:val="left"/>
      </w:pPr>
      <w:r>
        <w:rPr>
          <w:rFonts w:ascii="Times New Roman" w:hAnsi="Times New Roman"/>
          <w:b/>
          <w:i/>
          <w:color w:val="000000"/>
          <w:sz w:val="19"/>
        </w:rPr>
        <w:t>A. Biological Plausibility of Facial Deep Features</w:t>
      </w:r>
    </w:p>
    <w:p>
      <w:pPr>
        <w:spacing w:line="240" w:lineRule="auto" w:before="0" w:after="0"/>
        <w:ind w:firstLine="202"/>
        <w:jc w:val="both"/>
      </w:pPr>
      <w:r>
        <w:rPr>
          <w:rFonts w:ascii="Times New Roman" w:hAnsi="Times New Roman"/>
          <w:color w:val="000000"/>
          <w:sz w:val="19"/>
        </w:rPr>
        <w:t>The diagnostic efficacy of deep convolutional features extracted from facial portraits is firmly grounded in developmental biology. During human embryonic development between gestational weeks 3 and 8, the facial prominences develop synchronously with the forebrain under the direction of migrating cranial neural crest cells [20]. Molecular signaling pathways (Sonic Hedgehog, Wnt, Fibroblast Growth Factor) govern both neurogenesis in the cerebral cortex and morphological patterning of the periorbital, nasal, and maxillary structures. Genetic variants associated with autism spectrum vulnerability disrupt these coupled signaling cascades, resulting in subtle, quantifiable dysmorphologies such as altered facial width, intercanthal spacing, and philtrum contouring [21], [22]. By capturing hierarchical spatial features from aligned facial portraits, deep residual networks successfully detect these developmental patterns.</w:t>
      </w:r>
    </w:p>
    <w:p>
      <w:pPr>
        <w:keepNext/>
        <w:spacing w:before="120" w:after="40"/>
        <w:jc w:val="left"/>
      </w:pPr>
      <w:r>
        <w:rPr>
          <w:rFonts w:ascii="Times New Roman" w:hAnsi="Times New Roman"/>
          <w:b/>
          <w:i/>
          <w:color w:val="000000"/>
          <w:sz w:val="19"/>
        </w:rPr>
        <w:t>B. Clinical Triage and Community Screening Deployment</w:t>
      </w:r>
    </w:p>
    <w:p>
      <w:pPr>
        <w:spacing w:line="240" w:lineRule="auto" w:before="0" w:after="0"/>
        <w:ind w:firstLine="202"/>
        <w:jc w:val="both"/>
      </w:pPr>
      <w:r>
        <w:rPr>
          <w:rFonts w:ascii="Times New Roman" w:hAnsi="Times New Roman"/>
          <w:color w:val="000000"/>
          <w:sz w:val="19"/>
        </w:rPr>
        <w:t>Conventional clinical pathways for autism diagnosis require specialized multidisciplinary evaluation teams, resulting in protracted waiting lists exceeding 12–18 months. Our proposed framework offers significant clinical utility as an accessible, rapid triage instrument:</w:t>
        <w:br/>
        <w:t>1) Non-Invasive and Trauma-Free: Requiring only a standard photographic portrait, the screening process is completely silent, contactless, and takes fractions of a second, causing zero distress to sensory-sensitive toddlers.</w:t>
        <w:br/>
        <w:t>2) Cost and Infrastructure Accessibility: Unlike multi-million-dollar fMRI facilities, the trained ResNet-50 model requires only 25.6M parameters and completes inference in under 42 milliseconds, enabling deployment on low-cost tablets, smartphones, and web portals in community clinics and preschools.</w:t>
        <w:br/>
        <w:t>3) Risk Stratification for Clinical Prioritization: Rather than replacing child psychiatrists, the system functions as an objective risk-stratification tool. Pediatric patients flagged as high-risk (P(ASD) &gt;= 0.50) can be fast-tracked for comprehensive psychiatric evaluation (ADOS-2/ADI-R), substantially reducing diagnostic delays during critical early neuroplastic intervention windows.</w:t>
      </w:r>
    </w:p>
    <w:p>
      <w:pPr>
        <w:keepNext/>
        <w:spacing w:before="160" w:after="60"/>
        <w:jc w:val="center"/>
      </w:pPr>
      <w:r>
        <w:rPr>
          <w:rFonts w:ascii="Times New Roman" w:hAnsi="Times New Roman"/>
          <w:b/>
          <w:color w:val="000000"/>
          <w:sz w:val="20"/>
        </w:rPr>
        <w:t>VI.  CONCLUSION</w:t>
      </w:r>
    </w:p>
    <w:p>
      <w:pPr>
        <w:spacing w:line="240" w:lineRule="auto" w:before="0" w:after="0"/>
        <w:ind w:firstLine="202"/>
        <w:jc w:val="both"/>
      </w:pPr>
      <w:r>
        <w:rPr>
          <w:rFonts w:ascii="Times New Roman" w:hAnsi="Times New Roman"/>
          <w:color w:val="000000"/>
          <w:sz w:val="19"/>
        </w:rPr>
        <w:t>In this investigation, we developed an end-to-end, non-invasive pediatric Autism Spectrum Disorder screening framework based on deep convolutional neural networks operating on 2D facial photographs. Structured across five streamlined steps—(1) Data Collection, (2) MTCNN Face Preprocessing, (3) Stratified Splitting, (4) Comparative Multi-Architecture CNN Benchmarking, and (5) Clinical Diagnostic Evaluation—our methodology addresses the severe acoustic distress, sedation risks, and capital cost barriers of resting-state fMRI.</w:t>
      </w:r>
    </w:p>
    <w:p>
      <w:pPr>
        <w:spacing w:line="240" w:lineRule="auto" w:before="0" w:after="0"/>
        <w:ind w:firstLine="202"/>
        <w:jc w:val="both"/>
      </w:pPr>
      <w:r>
        <w:rPr>
          <w:rFonts w:ascii="Times New Roman" w:hAnsi="Times New Roman"/>
          <w:color w:val="000000"/>
          <w:sz w:val="19"/>
        </w:rPr>
        <w:t>Through a rigorous comparative benchmark across six candidate CNN architectures on a balanced multi-center cohort of 5,772 pediatric portraits, we demonstrated that ResNet-50 serves as the optimal deep backbone. Leveraging residual identity skip connections, ResNet-50 achieved 82.4% Test Accuracy, 88.6% AUROC, 81.6% F1-Score, 80.8% Sensitivity, and 84.0% Specificity, with an inference latency under 45 milliseconds. This framework provides an objective, scalable, and non-invasive digital screening tool to facilitate early pediatric triage and timely developmental intervention.</w:t>
      </w:r>
    </w:p>
    <w:p>
      <w:pPr>
        <w:keepNext/>
        <w:spacing w:before="160" w:after="60"/>
        <w:jc w:val="center"/>
      </w:pPr>
      <w:r>
        <w:rPr>
          <w:rFonts w:ascii="Times New Roman" w:hAnsi="Times New Roman"/>
          <w:b/>
          <w:color w:val="000000"/>
          <w:sz w:val="20"/>
        </w:rPr>
        <w:t>REFERENCES</w:t>
      </w:r>
    </w:p>
    <w:p>
      <w:pPr>
        <w:spacing w:line="240" w:lineRule="auto" w:before="0" w:after="40"/>
        <w:ind w:left="288" w:hanging="288"/>
        <w:jc w:val="both"/>
      </w:pPr>
      <w:r>
        <w:rPr>
          <w:rFonts w:ascii="Times New Roman" w:hAnsi="Times New Roman"/>
          <w:sz w:val="15"/>
        </w:rPr>
        <w:t>[1] M. Beary, A. Hadsell, R. Messersmith, and M.-P. Hosseini, "Diagnosis of Autism in Children Using Facial Analysis and Deep Learning," arXiv preprint arXiv:2008.02890, 2020.</w:t>
      </w:r>
    </w:p>
    <w:p>
      <w:pPr>
        <w:spacing w:line="240" w:lineRule="auto" w:before="0" w:after="40"/>
        <w:ind w:left="288" w:hanging="288"/>
        <w:jc w:val="both"/>
      </w:pPr>
      <w:r>
        <w:rPr>
          <w:rFonts w:ascii="Times New Roman" w:hAnsi="Times New Roman"/>
          <w:sz w:val="15"/>
        </w:rPr>
        <w:t>[2] K. K. Mujeeb Rahman and M. M. Subashini, "Identification of Autism in Children Using Static Facial Features and Deep Neural Networks," Brain Sciences, vol. 12, no. 1, p. 94, 2022, doi: 10.3390/brainsci12010094.</w:t>
      </w:r>
    </w:p>
    <w:p>
      <w:pPr>
        <w:spacing w:line="240" w:lineRule="auto" w:before="0" w:after="40"/>
        <w:ind w:left="288" w:hanging="288"/>
        <w:jc w:val="both"/>
      </w:pPr>
      <w:r>
        <w:rPr>
          <w:rFonts w:ascii="Times New Roman" w:hAnsi="Times New Roman"/>
          <w:sz w:val="15"/>
        </w:rPr>
        <w:t>[3] M. Revathi and S. Arunarani, "Hybrid Deep Learning with Cross-Attention Fusion for Autism Spectrum Disorder Classification from Facial Images," Intelligence-Based Medicine, vol. 15, p. 100421, 2026, doi: 10.1016/j.ibmed.2026.100421.</w:t>
      </w:r>
    </w:p>
    <w:p>
      <w:pPr>
        <w:spacing w:line="240" w:lineRule="auto" w:before="0" w:after="40"/>
        <w:ind w:left="288" w:hanging="288"/>
        <w:jc w:val="both"/>
      </w:pPr>
      <w:r>
        <w:rPr>
          <w:rFonts w:ascii="Times New Roman" w:hAnsi="Times New Roman"/>
          <w:sz w:val="15"/>
        </w:rPr>
        <w:t>[4] T. Akter, M. H. Ali, M. I. Khan, M. S. Satu, M. J. Uddin, S. A. Alyami, S. Ali, A. K. M. Azad, and M. A. Moni, "Improved Transfer-Learning-Based Facial Recognition Framework to Detect Autistic Children at an Early Stage," Brain Sciences, vol. 11, no. 6, p. 734, 2021, doi: 10.3390/brainsci11060734.</w:t>
      </w:r>
    </w:p>
    <w:p>
      <w:pPr>
        <w:spacing w:line="240" w:lineRule="auto" w:before="0" w:after="40"/>
        <w:ind w:left="288" w:hanging="288"/>
        <w:jc w:val="both"/>
      </w:pPr>
      <w:r>
        <w:rPr>
          <w:rFonts w:ascii="Times New Roman" w:hAnsi="Times New Roman"/>
          <w:sz w:val="15"/>
        </w:rPr>
        <w:t>[5] L. K. Gaddala, K. R. Kodepogu, Y. Surekha, M. Tejaswi, K. Ameesha, L. S. Kollapalli, S. K. Kotha, and V. B. Manjeti, "Autism Spectrum Disorder Detection Using Facial Images and Deep Convolutional Neural Networks," Revue d'Intelligence Artificielle, vol. 37, no. 3, pp. 801–806, 2023, doi: 10.18280/ria.370329.</w:t>
      </w:r>
    </w:p>
    <w:p>
      <w:pPr>
        <w:spacing w:line="240" w:lineRule="auto" w:before="0" w:after="40"/>
        <w:ind w:left="288" w:hanging="288"/>
        <w:jc w:val="both"/>
      </w:pPr>
      <w:r>
        <w:rPr>
          <w:rFonts w:ascii="Times New Roman" w:hAnsi="Times New Roman"/>
          <w:sz w:val="15"/>
        </w:rPr>
        <w:t>[6] A. Lu and M. Perkowski, "Deep Learning Approach for Screening Autism Spectrum Disorder in Children with Facial Images and Analysis of Ethnoracial Factors in Model Development and Application," Brain Sciences, vol. 11, no. 11, p. 1446, 2021, doi: 10.3390/brainsci11111446.</w:t>
      </w:r>
    </w:p>
    <w:p>
      <w:pPr>
        <w:spacing w:line="240" w:lineRule="auto" w:before="0" w:after="40"/>
        <w:ind w:left="288" w:hanging="288"/>
        <w:jc w:val="both"/>
      </w:pPr>
      <w:r>
        <w:rPr>
          <w:rFonts w:ascii="Times New Roman" w:hAnsi="Times New Roman"/>
          <w:sz w:val="15"/>
        </w:rPr>
        <w:t>[7] H. Alkahtani, T. H. H. Aldhyani, and M. Y. Alzahrani, "Deep Learning Algorithms to Identify Autism Spectrum Disorder in Children-Based Facial Landmarks," Applied Sciences, vol. 13, no. 8, p. 4855, 2023, doi: 10.3390/app13084855.</w:t>
      </w:r>
    </w:p>
    <w:p>
      <w:pPr>
        <w:spacing w:line="240" w:lineRule="auto" w:before="0" w:after="40"/>
        <w:ind w:left="288" w:hanging="288"/>
        <w:jc w:val="both"/>
      </w:pPr>
      <w:r>
        <w:rPr>
          <w:rFonts w:ascii="Times New Roman" w:hAnsi="Times New Roman"/>
          <w:sz w:val="15"/>
        </w:rPr>
        <w:t>[8] Z. A. T. Ahmed, T. H. H. Aldhyani, M. E. Jadhav, M. Y. Alzahrani, M. E. Alzahrani, M. M. Althobaiti, F. Alassery, A. Alshaflut, N. M. Alzahrani, and A. M. Al-madani, "Facial Features Detection System To Identify Children With Autism Spectrum Disorder: Deep Learning Models," Computational and Mathematical Methods in Medicine, vol. 2022, p. 3941049, 2022 (Retracted publication).</w:t>
      </w:r>
    </w:p>
    <w:p>
      <w:pPr>
        <w:spacing w:line="240" w:lineRule="auto" w:before="0" w:after="40"/>
        <w:ind w:left="288" w:hanging="288"/>
        <w:jc w:val="both"/>
      </w:pPr>
      <w:r>
        <w:rPr>
          <w:rFonts w:ascii="Times New Roman" w:hAnsi="Times New Roman"/>
          <w:sz w:val="15"/>
        </w:rPr>
        <w:t>[9] S. Raj and S. Masood, "Analysis and Detection of Autism Spectrum Disorder Using Machine Learning Techniques," Procedia Computer Science, vol. 167, pp. 994–1004, 2020, doi: 10.1016/j.procs.2020.03.399.</w:t>
      </w:r>
    </w:p>
    <w:p>
      <w:pPr>
        <w:spacing w:line="240" w:lineRule="auto" w:before="0" w:after="40"/>
        <w:ind w:left="288" w:hanging="288"/>
        <w:jc w:val="both"/>
      </w:pPr>
      <w:r>
        <w:rPr>
          <w:rFonts w:ascii="Times New Roman" w:hAnsi="Times New Roman"/>
          <w:sz w:val="15"/>
        </w:rPr>
        <w:t>[10] A. K. Kareem, M. M. AL-Ani, and A. A. Nafea, "Detection of Autism Spectrum Disorder Using A 1-Dimensional Convolutional Neural Network," Baghdad Science Journal, vol. 20, no. 6, p. 8564, 2023, doi: 10.21123/bsj.2023.8564.</w:t>
      </w:r>
    </w:p>
    <w:p>
      <w:pPr>
        <w:spacing w:line="240" w:lineRule="auto" w:before="0" w:after="40"/>
        <w:ind w:left="288" w:hanging="288"/>
        <w:jc w:val="both"/>
      </w:pPr>
      <w:r>
        <w:rPr>
          <w:rFonts w:ascii="Times New Roman" w:hAnsi="Times New Roman"/>
          <w:sz w:val="15"/>
        </w:rPr>
        <w:t>[11] B. Khan, S. M. Bhatti, and A. Akram, "Autism Spectrum Disorder Detection in Children Via Deep Learning Models Based on Facial Images," Bulletin of Business and Economics, vol. 13, no. 1, pp. 557–572, 2024, doi: 10.61506/01.00241.</w:t>
      </w:r>
    </w:p>
    <w:p>
      <w:pPr>
        <w:spacing w:line="240" w:lineRule="auto" w:before="0" w:after="40"/>
        <w:ind w:left="288" w:hanging="288"/>
        <w:jc w:val="both"/>
      </w:pPr>
      <w:r>
        <w:rPr>
          <w:rFonts w:ascii="Times New Roman" w:hAnsi="Times New Roman"/>
          <w:sz w:val="15"/>
        </w:rPr>
        <w:t>[12] B. Awaji, E. M. Senan, F. Olayah, E. A. Alshari, M. Alsulami, H. A. Abosaq, J. Alqahtani, and P. Janrao, "Hybrid Techniques of Facial Feature Image Analysis for Early Detection of Autism Spectrum Disorder Based on Combined CNN Features," Diagnostics, vol. 13, no. 18, p. 2948, 2023, doi: 10.3390/diagnostics13182948.</w:t>
      </w:r>
    </w:p>
    <w:p>
      <w:pPr>
        <w:spacing w:line="240" w:lineRule="auto" w:before="0" w:after="40"/>
        <w:ind w:left="288" w:hanging="288"/>
        <w:jc w:val="both"/>
      </w:pPr>
      <w:r>
        <w:rPr>
          <w:rFonts w:ascii="Times New Roman" w:hAnsi="Times New Roman"/>
          <w:sz w:val="15"/>
        </w:rPr>
        <w:t>[13] U. J. Monani, R. Maity, P. K. Pattnaik, K. S. M. Anbananthen, S. Muthaiyah, and M. Sain, "Evaluating Deep Learning Models for Autism Detection in Children Using Facial Images," Journal of Human, Earth, and Future, vol. 7, no. 1, pp. 48–60, 2026, doi: 10.28991/HEF-2026-07-01-03.</w:t>
      </w:r>
    </w:p>
    <w:p>
      <w:pPr>
        <w:spacing w:line="240" w:lineRule="auto" w:before="0" w:after="40"/>
        <w:ind w:left="288" w:hanging="288"/>
        <w:jc w:val="both"/>
      </w:pPr>
      <w:r>
        <w:rPr>
          <w:rFonts w:ascii="Times New Roman" w:hAnsi="Times New Roman"/>
          <w:sz w:val="15"/>
        </w:rPr>
        <w:t>[14] Yunidar, A. Suyanda, Melinda, L. Q. Zakaria, and S. Rusdiana, "Classification of Autism Spectrum Disorder (ASD) in Children Using the VGG19 CNN Model Based on Facial Landmarks of the Eye and Forehead Areas," Jurnal Teknokes, vol. 19, no. 2, pp. 61–71, 2026, doi: 10.35882/jteknokes.v19i2.158.</w:t>
      </w:r>
    </w:p>
    <w:p>
      <w:pPr>
        <w:spacing w:line="240" w:lineRule="auto" w:before="0" w:after="40"/>
        <w:ind w:left="288" w:hanging="288"/>
        <w:jc w:val="both"/>
      </w:pPr>
      <w:r>
        <w:rPr>
          <w:rFonts w:ascii="Times New Roman" w:hAnsi="Times New Roman"/>
          <w:sz w:val="15"/>
        </w:rPr>
        <w:t>[15] N. Kaur, P. Singh, K. Singh, J. Khan, D. Hussain, Y. H. Gu, R. Aljuaidi, and N. Waheb Rajkhan, "AI-driven Neuroanalytic Modeling for Mental Health: Multichannel CNN-Based Autism Spectrum Disorder Detection via Facial Pattern Analysis," Frontiers in Computational Neuroscience, vol. 20, p. 1851416, 2026, doi: 10.3389/fncom.2026.1851416.</w:t>
      </w:r>
    </w:p>
    <w:p>
      <w:pPr>
        <w:spacing w:line="240" w:lineRule="auto" w:before="0" w:after="40"/>
        <w:ind w:left="288" w:hanging="288"/>
        <w:jc w:val="both"/>
      </w:pPr>
      <w:r>
        <w:rPr>
          <w:rFonts w:ascii="Times New Roman" w:hAnsi="Times New Roman"/>
          <w:sz w:val="15"/>
        </w:rPr>
        <w:t>[16] C. Lord, M. Elsabbagh, G. Baird, and J. Veenstra-Vanderweele, "Autism spectrum disorder," The Lancet, vol. 392, no. 10146, pp. 508–520, 2018.</w:t>
      </w:r>
    </w:p>
    <w:p>
      <w:pPr>
        <w:spacing w:line="240" w:lineRule="auto" w:before="0" w:after="40"/>
        <w:ind w:left="288" w:hanging="288"/>
        <w:jc w:val="both"/>
      </w:pPr>
      <w:r>
        <w:rPr>
          <w:rFonts w:ascii="Times New Roman" w:hAnsi="Times New Roman"/>
          <w:sz w:val="15"/>
        </w:rPr>
        <w:t>[17] M. J. Maenner, Z. Warren, A. R. Williams, et al., "Prevalence and Characteristics of Autism Spectrum Disorder Among Children Aged 8 Years — ADDM Network, 11 Sites, United States, 2020," MMWR Surveill. Summ., vol. 72, no. 2, pp. 1–14, 2023.</w:t>
      </w:r>
    </w:p>
    <w:p>
      <w:pPr>
        <w:spacing w:line="240" w:lineRule="auto" w:before="0" w:after="40"/>
        <w:ind w:left="288" w:hanging="288"/>
        <w:jc w:val="both"/>
      </w:pPr>
      <w:r>
        <w:rPr>
          <w:rFonts w:ascii="Times New Roman" w:hAnsi="Times New Roman"/>
          <w:sz w:val="15"/>
        </w:rPr>
        <w:t>[18] A. Di Martino, C.-G. Yan, Q. Li, et al., "The autism brain imaging data exchange: towards a large-scale evaluation of the intrinsic brain architecture in autism," Mol. Psychiatry, vol. 19, no. 6, pp. 659–667, 2014.</w:t>
      </w:r>
    </w:p>
    <w:p>
      <w:pPr>
        <w:spacing w:line="240" w:lineRule="auto" w:before="0" w:after="40"/>
        <w:ind w:left="288" w:hanging="288"/>
        <w:jc w:val="both"/>
      </w:pPr>
      <w:r>
        <w:rPr>
          <w:rFonts w:ascii="Times New Roman" w:hAnsi="Times New Roman"/>
          <w:sz w:val="15"/>
        </w:rPr>
        <w:t>[19] U. Singh, S. Shukla, and M. M. Gore, "Functional Connectivity and Graph Embedding-Based Domain Adaptation for Autism Classification from Multi-site Data," Arab. J. Sci. Eng., vol. 49, no. 11, pp. 15053–15072, 2024.</w:t>
      </w:r>
    </w:p>
    <w:p>
      <w:pPr>
        <w:spacing w:line="240" w:lineRule="auto" w:before="0" w:after="40"/>
        <w:ind w:left="288" w:hanging="288"/>
        <w:jc w:val="both"/>
      </w:pPr>
      <w:r>
        <w:rPr>
          <w:rFonts w:ascii="Times New Roman" w:hAnsi="Times New Roman"/>
          <w:sz w:val="15"/>
        </w:rPr>
        <w:t>[20] D. R. Cordero, S. Brugmann, Y. Chu, et al., "Cranial neural crest cells on the move and their role in craniofacial development," Genesis, vol. 49, no. 4, pp. 249–261, 2011.</w:t>
      </w:r>
    </w:p>
    <w:p>
      <w:pPr>
        <w:spacing w:line="240" w:lineRule="auto" w:before="0" w:after="40"/>
        <w:ind w:left="288" w:hanging="288"/>
        <w:jc w:val="both"/>
      </w:pPr>
      <w:r>
        <w:rPr>
          <w:rFonts w:ascii="Times New Roman" w:hAnsi="Times New Roman"/>
          <w:sz w:val="15"/>
        </w:rPr>
        <w:t>[21] K. Aldridge, I. D. George, K. K. Cole, et al., "Facial phenotypes in subgroups of prepubertal boys with autism spectrum disorders are correlated with clinical phenotypes," Mol. Autism, vol. 2, no. 1, pp. 15–28, 2011.</w:t>
      </w:r>
    </w:p>
    <w:p>
      <w:pPr>
        <w:spacing w:line="240" w:lineRule="auto" w:before="0" w:after="40"/>
        <w:ind w:left="288" w:hanging="288"/>
        <w:jc w:val="both"/>
      </w:pPr>
      <w:r>
        <w:rPr>
          <w:rFonts w:ascii="Times New Roman" w:hAnsi="Times New Roman"/>
          <w:sz w:val="15"/>
        </w:rPr>
        <w:t>[22] T. Obafemi-Ajayi, J. H. Miles, N. Takahashi, et al., "Facial morphometric features correlate with clinical severity in autism spectrum disorder," Neuroinformatics, vol. 13, no. 4, pp. 407–424, 2015.</w:t>
      </w:r>
    </w:p>
    <w:p>
      <w:pPr>
        <w:spacing w:line="240" w:lineRule="auto" w:before="0" w:after="40"/>
        <w:ind w:left="288" w:hanging="288"/>
        <w:jc w:val="both"/>
      </w:pPr>
      <w:r>
        <w:rPr>
          <w:rFonts w:ascii="Times New Roman" w:hAnsi="Times New Roman"/>
          <w:sz w:val="15"/>
        </w:rPr>
        <w:t>[23] K. Zhang, Z. Zhang, Z. Li, and Y. Qiao, "Joint Face Detection and Alignment Using Multitask Cascaded Convolutional Networks," IEEE Signal Process. Lett., vol. 23, no. 10, pp. 1499–1503, 2016.</w:t>
      </w:r>
    </w:p>
    <w:p>
      <w:pPr>
        <w:spacing w:line="240" w:lineRule="auto" w:before="0" w:after="40"/>
        <w:ind w:left="288" w:hanging="288"/>
        <w:jc w:val="both"/>
      </w:pPr>
      <w:r>
        <w:rPr>
          <w:rFonts w:ascii="Times New Roman" w:hAnsi="Times New Roman"/>
          <w:sz w:val="15"/>
        </w:rPr>
        <w:t>[24] K. He, X. Zhang, S. Ren, and J. Sun, "Deep Residual Learning for Image Recognition," in Proc. IEEE CVPR, 2016, pp. 770–778.</w:t>
      </w:r>
    </w:p>
    <w:p>
      <w:pPr>
        <w:spacing w:line="240" w:lineRule="auto" w:before="0" w:after="40"/>
        <w:ind w:left="288" w:hanging="288"/>
        <w:jc w:val="both"/>
      </w:pPr>
      <w:r>
        <w:rPr>
          <w:rFonts w:ascii="Times New Roman" w:hAnsi="Times New Roman"/>
          <w:sz w:val="15"/>
        </w:rPr>
        <w:t>[25] K. Simonyan and A. Zisserman, "Very Deep Convolutional Networks for Large-Scale Image Recognition," arXiv:1409.1556, 2014.</w:t>
      </w:r>
    </w:p>
    <w:p>
      <w:pPr>
        <w:spacing w:line="240" w:lineRule="auto" w:before="0" w:after="40"/>
        <w:ind w:left="288" w:hanging="288"/>
        <w:jc w:val="both"/>
      </w:pPr>
      <w:r>
        <w:rPr>
          <w:rFonts w:ascii="Times New Roman" w:hAnsi="Times New Roman"/>
          <w:sz w:val="15"/>
        </w:rPr>
        <w:t>[26] M. Sandler, A. Howard, M. Zhu, A. Zhmoginov, and L.-C. Chen, "MobileNetV2: Inverted Residuals and Linear Bottlenecks," in Proc. IEEE CVPR, 2018, pp. 4510–4520.</w:t>
      </w:r>
    </w:p>
    <w:p>
      <w:pPr>
        <w:spacing w:line="240" w:lineRule="auto" w:before="0" w:after="40"/>
        <w:ind w:left="288" w:hanging="288"/>
        <w:jc w:val="both"/>
      </w:pPr>
      <w:r>
        <w:rPr>
          <w:rFonts w:ascii="Times New Roman" w:hAnsi="Times New Roman"/>
          <w:sz w:val="15"/>
        </w:rPr>
        <w:t>[27] A. Krizhevsky, I. Sutskever, and G. E. Hinton, "ImageNet Classification with Deep Convolutional Neural Networks," in Adv. Neural Inf. Process. Syst. (NeurIPS), vol. 25, pp. 1097–1105, 2012.</w:t>
      </w:r>
    </w:p>
    <w:p>
      <w:pPr>
        <w:spacing w:line="240" w:lineRule="auto" w:before="0" w:after="40"/>
        <w:ind w:left="288" w:hanging="288"/>
        <w:jc w:val="both"/>
      </w:pPr>
      <w:r>
        <w:rPr>
          <w:rFonts w:ascii="Times New Roman" w:hAnsi="Times New Roman"/>
          <w:sz w:val="15"/>
        </w:rPr>
        <w:t>[28] I. Loshchilov and F. Hutter, "Decoupled Weight Decay Regularization," in Proc. ICLR, 2019.</w:t>
      </w:r>
    </w:p>
    <w:sectPr w:rsidR="00FC693F" w:rsidRPr="0006063C" w:rsidSect="00034616">
      <w:type w:val="continuous"/>
      <w:pgSz w:w="12240" w:h="15840"/>
      <w:pgMar w:top="1080" w:right="900" w:bottom="1440" w:left="900" w:header="720" w:footer="72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64748B"/>
        <w:sz w:val="16"/>
      </w:rPr>
      <w:t>Yadav et al.: Deep CNN for Non-Invasive Pediatric Autism Spectrum Disorder Detection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Times New Roman" w:hAnsi="Times New Roman"/>
        <w:i/>
        <w:color w:val="64748B"/>
        <w:sz w:val="16"/>
      </w:rPr>
      <w:t>IEEE TRANSACTIONS ON BIOMEDICAL ENGINEERING / HEALTHCARE TECHNOLOGY (PREPRINT)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