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sz w:val="40"/>
          <w:szCs w:val="40"/>
        </w:rPr>
        <w:t xml:space="preserve">Feature Requirements Document</w:t>
      </w:r>
    </w:p>
    <w:p>
      <w:pPr>
        <w:pBdr>
          <w:bottom w:val="single" w:color="2E5AAC" w:sz="8" w:space="6"/>
        </w:pBdr>
        <w:spacing w:after="160"/>
      </w:pPr>
      <w:r>
        <w:rPr>
          <w:rFonts w:ascii="Arial" w:cs="Arial" w:eastAsia="Arial" w:hAnsi="Arial"/>
          <w:color w:val="2E5AAC"/>
          <w:sz w:val="30"/>
          <w:szCs w:val="30"/>
        </w:rPr>
        <w:t xml:space="preserve">Guest Lecture as a Service</w:t>
      </w:r>
    </w:p>
    <w:p>
      <w:pPr>
        <w:spacing w:after="40"/>
      </w:pPr>
      <w:r>
        <w:rPr>
          <w:rFonts w:ascii="Arial" w:cs="Arial" w:eastAsia="Arial" w:hAnsi="Arial"/>
          <w:b/>
          <w:bCs/>
          <w:color w:val="555555"/>
          <w:sz w:val="20"/>
          <w:szCs w:val="20"/>
        </w:rPr>
        <w:t xml:space="preserve">Part of:  </w:t>
      </w:r>
      <w:r>
        <w:rPr>
          <w:rFonts w:ascii="Arial" w:cs="Arial" w:eastAsia="Arial" w:hAnsi="Arial"/>
          <w:color w:val="555555"/>
          <w:sz w:val="20"/>
          <w:szCs w:val="20"/>
        </w:rPr>
        <w:t xml:space="preserve">LogicalMBA (platform working title)</w:t>
      </w:r>
    </w:p>
    <w:p>
      <w:pPr>
        <w:spacing w:after="40"/>
      </w:pPr>
      <w:r>
        <w:rPr>
          <w:rFonts w:ascii="Arial" w:cs="Arial" w:eastAsia="Arial" w:hAnsi="Arial"/>
          <w:b/>
          <w:bCs/>
          <w:color w:val="555555"/>
          <w:sz w:val="20"/>
          <w:szCs w:val="20"/>
        </w:rPr>
        <w:t xml:space="preserve">Owner:  </w:t>
      </w:r>
      <w:r>
        <w:rPr>
          <w:rFonts w:ascii="Arial" w:cs="Arial" w:eastAsia="Arial" w:hAnsi="Arial"/>
          <w:color w:val="555555"/>
          <w:sz w:val="20"/>
          <w:szCs w:val="20"/>
        </w:rPr>
        <w:t xml:space="preserve">Narenther</w:t>
      </w:r>
    </w:p>
    <w:p>
      <w:pPr>
        <w:spacing w:after="40"/>
      </w:pPr>
      <w:r>
        <w:rPr>
          <w:rFonts w:ascii="Arial" w:cs="Arial" w:eastAsia="Arial" w:hAnsi="Arial"/>
          <w:b/>
          <w:bCs/>
          <w:color w:val="555555"/>
          <w:sz w:val="20"/>
          <w:szCs w:val="20"/>
        </w:rPr>
        <w:t xml:space="preserve">Version:  </w:t>
      </w:r>
      <w:r>
        <w:rPr>
          <w:rFonts w:ascii="Arial" w:cs="Arial" w:eastAsia="Arial" w:hAnsi="Arial"/>
          <w:color w:val="555555"/>
          <w:sz w:val="20"/>
          <w:szCs w:val="20"/>
        </w:rPr>
        <w:t xml:space="preserve">1.0 (Draft for review)</w:t>
      </w:r>
    </w:p>
    <w:p>
      <w:pPr>
        <w:spacing w:after="40"/>
      </w:pP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June 2026</w:t>
      </w:r>
    </w:p>
    <w:p>
      <w:pPr>
        <w:pStyle w:val="Heading1"/>
      </w:pPr>
      <w:r>
        <w:t xml:space="preserve">1. Summary</w:t>
      </w:r>
    </w:p>
    <w:p>
      <w:pPr>
        <w:spacing w:after="120"/>
      </w:pPr>
      <w:r>
        <w:rPr>
          <w:rFonts w:ascii="Arial" w:cs="Arial" w:eastAsia="Arial" w:hAnsi="Arial"/>
          <w:sz w:val="24"/>
          <w:szCs w:val="24"/>
        </w:rPr>
        <w:t xml:space="preserve">Guest Lecture as a Service is a two-sided marketplace that connects industry professionals (speakers) with colleges and institutes that want to invite them to deliver guest lectures. Colleges can both browse an existing roster of speakers and post their own requirements; professionals self-register, get verified, and are then listed for discovery.</w:t>
      </w:r>
    </w:p>
    <w:p>
      <w:pPr>
        <w:spacing w:after="120"/>
      </w:pPr>
      <w:r>
        <w:rPr>
          <w:rFonts w:ascii="Arial" w:cs="Arial" w:eastAsia="Arial" w:hAnsi="Arial"/>
          <w:sz w:val="24"/>
          <w:szCs w:val="24"/>
        </w:rPr>
        <w:t xml:space="preserve">It fits the platform’s core thesis — leveling the playing field for Tier 2 institutions, which typically lack the networks to reach quality speakers. The direct customer is the college; the ultimate beneficiary is the student audience. The speaker roster also overlaps with the platform’s mentor pool (see Section 4), so a single professional can offer both services from one profile.</w:t>
      </w:r>
    </w:p>
    <w:p>
      <w:pPr>
        <w:pStyle w:val="Heading1"/>
      </w:pPr>
      <w:r>
        <w:t xml:space="preserve">2. Goals and Non-Goals</w:t>
      </w:r>
    </w:p>
    <w:p>
      <w:pPr>
        <w:spacing w:after="60" w:before="120"/>
      </w:pPr>
      <w:r>
        <w:rPr>
          <w:rFonts w:ascii="Arial" w:cs="Arial" w:eastAsia="Arial" w:hAnsi="Arial"/>
          <w:b/>
          <w:bCs/>
          <w:sz w:val="24"/>
          <w:szCs w:val="24"/>
        </w:rPr>
        <w:t xml:space="preserve">Goals</w:t>
      </w:r>
    </w:p>
    <w:p>
      <w:pPr>
        <w:pStyle w:val="ListParagraph"/>
        <w:numPr>
          <w:ilvl w:val="0"/>
          <w:numId w:val="2"/>
        </w:numPr>
        <w:spacing w:after="40"/>
      </w:pPr>
      <w:r>
        <w:rPr>
          <w:rFonts w:ascii="Arial" w:cs="Arial" w:eastAsia="Arial" w:hAnsi="Arial"/>
          <w:sz w:val="24"/>
          <w:szCs w:val="24"/>
        </w:rPr>
        <w:t xml:space="preserve">Let colleges discover and invite quality industry speakers easily.</w:t>
      </w:r>
    </w:p>
    <w:p>
      <w:pPr>
        <w:pStyle w:val="ListParagraph"/>
        <w:numPr>
          <w:ilvl w:val="0"/>
          <w:numId w:val="2"/>
        </w:numPr>
        <w:spacing w:after="40"/>
      </w:pPr>
      <w:r>
        <w:rPr>
          <w:rFonts w:ascii="Arial" w:cs="Arial" w:eastAsia="Arial" w:hAnsi="Arial"/>
          <w:sz w:val="24"/>
          <w:szCs w:val="24"/>
        </w:rPr>
        <w:t xml:space="preserve">Let professionals self-register, get verified, and be auto-listed once approved.</w:t>
      </w:r>
    </w:p>
    <w:p>
      <w:pPr>
        <w:pStyle w:val="ListParagraph"/>
        <w:numPr>
          <w:ilvl w:val="0"/>
          <w:numId w:val="2"/>
        </w:numPr>
        <w:spacing w:after="40"/>
      </w:pPr>
      <w:r>
        <w:rPr>
          <w:rFonts w:ascii="Arial" w:cs="Arial" w:eastAsia="Arial" w:hAnsi="Arial"/>
          <w:sz w:val="24"/>
          <w:szCs w:val="24"/>
        </w:rPr>
        <w:t xml:space="preserve">Support two demand models: browse-and-invite, and post-a-need.</w:t>
      </w:r>
    </w:p>
    <w:p>
      <w:pPr>
        <w:pStyle w:val="ListParagraph"/>
        <w:numPr>
          <w:ilvl w:val="0"/>
          <w:numId w:val="2"/>
        </w:numPr>
        <w:spacing w:after="40"/>
      </w:pPr>
      <w:r>
        <w:rPr>
          <w:rFonts w:ascii="Arial" w:cs="Arial" w:eastAsia="Arial" w:hAnsi="Arial"/>
          <w:sz w:val="24"/>
          <w:szCs w:val="24"/>
        </w:rPr>
        <w:t xml:space="preserve">Use one unified professional profile shared with the mentorship service.</w:t>
      </w:r>
    </w:p>
    <w:p>
      <w:pPr>
        <w:pStyle w:val="ListParagraph"/>
        <w:numPr>
          <w:ilvl w:val="0"/>
          <w:numId w:val="2"/>
        </w:numPr>
        <w:spacing w:after="40"/>
      </w:pPr>
      <w:r>
        <w:rPr>
          <w:rFonts w:ascii="Arial" w:cs="Arial" w:eastAsia="Arial" w:hAnsi="Arial"/>
          <w:sz w:val="24"/>
          <w:szCs w:val="24"/>
        </w:rPr>
        <w:t xml:space="preserve">Make trust visible (verification, reviews, sample talks), since trust is the core value of this marketplace.</w:t>
      </w:r>
    </w:p>
    <w:p>
      <w:pPr>
        <w:spacing w:after="60" w:before="120"/>
      </w:pPr>
      <w:r>
        <w:rPr>
          <w:rFonts w:ascii="Arial" w:cs="Arial" w:eastAsia="Arial" w:hAnsi="Arial"/>
          <w:b/>
          <w:bCs/>
          <w:sz w:val="24"/>
          <w:szCs w:val="24"/>
        </w:rPr>
        <w:t xml:space="preserve">Non-goals (for now)</w:t>
      </w:r>
    </w:p>
    <w:p>
      <w:pPr>
        <w:pStyle w:val="ListParagraph"/>
        <w:numPr>
          <w:ilvl w:val="0"/>
          <w:numId w:val="2"/>
        </w:numPr>
        <w:spacing w:after="40"/>
      </w:pPr>
      <w:r>
        <w:rPr>
          <w:rFonts w:ascii="Arial" w:cs="Arial" w:eastAsia="Arial" w:hAnsi="Arial"/>
          <w:sz w:val="24"/>
          <w:szCs w:val="24"/>
        </w:rPr>
        <w:t xml:space="preserve">Quality scoring or skill vetting beyond confirming the person is legitimate (see Section 5.2).</w:t>
      </w:r>
    </w:p>
    <w:p>
      <w:pPr>
        <w:pStyle w:val="ListParagraph"/>
        <w:numPr>
          <w:ilvl w:val="0"/>
          <w:numId w:val="2"/>
        </w:numPr>
        <w:spacing w:after="40"/>
      </w:pPr>
      <w:r>
        <w:rPr>
          <w:rFonts w:ascii="Arial" w:cs="Arial" w:eastAsia="Arial" w:hAnsi="Arial"/>
          <w:sz w:val="24"/>
          <w:szCs w:val="24"/>
        </w:rPr>
        <w:t xml:space="preserve">A finalized monetization mechanism (open — see Section 9).</w:t>
      </w:r>
    </w:p>
    <w:p>
      <w:pPr>
        <w:pStyle w:val="ListParagraph"/>
        <w:numPr>
          <w:ilvl w:val="0"/>
          <w:numId w:val="2"/>
        </w:numPr>
        <w:spacing w:after="40"/>
      </w:pPr>
      <w:r>
        <w:rPr>
          <w:rFonts w:ascii="Arial" w:cs="Arial" w:eastAsia="Arial" w:hAnsi="Arial"/>
          <w:sz w:val="24"/>
          <w:szCs w:val="24"/>
        </w:rPr>
        <w:t xml:space="preserve">A native mobile app (web-first).</w:t>
      </w:r>
    </w:p>
    <w:p>
      <w:pPr>
        <w:pStyle w:val="Heading1"/>
      </w:pPr>
      <w:r>
        <w:t xml:space="preserve">3. Users and Roles</w:t>
      </w:r>
    </w:p>
    <w:p>
      <w:pPr>
        <w:pStyle w:val="ListParagraph"/>
        <w:numPr>
          <w:ilvl w:val="0"/>
          <w:numId w:val="2"/>
        </w:numPr>
        <w:spacing w:after="40"/>
      </w:pPr>
      <w:r>
        <w:rPr>
          <w:rFonts w:ascii="Arial" w:cs="Arial" w:eastAsia="Arial" w:hAnsi="Arial"/>
          <w:b/>
          <w:bCs/>
          <w:sz w:val="24"/>
          <w:szCs w:val="24"/>
        </w:rPr>
        <w:t xml:space="preserve">Industry professional / speaker — </w:t>
      </w:r>
      <w:r>
        <w:rPr>
          <w:rFonts w:ascii="Arial" w:cs="Arial" w:eastAsia="Arial" w:hAnsi="Arial"/>
          <w:sz w:val="24"/>
          <w:szCs w:val="24"/>
        </w:rPr>
        <w:t xml:space="preserve">the supply side; registers, gets verified, lists guest-lecture (and optionally mentorship) services.</w:t>
      </w:r>
    </w:p>
    <w:p>
      <w:pPr>
        <w:pStyle w:val="ListParagraph"/>
        <w:numPr>
          <w:ilvl w:val="0"/>
          <w:numId w:val="2"/>
        </w:numPr>
        <w:spacing w:after="40"/>
      </w:pPr>
      <w:r>
        <w:rPr>
          <w:rFonts w:ascii="Arial" w:cs="Arial" w:eastAsia="Arial" w:hAnsi="Arial"/>
          <w:b/>
          <w:bCs/>
          <w:sz w:val="24"/>
          <w:szCs w:val="24"/>
        </w:rPr>
        <w:t xml:space="preserve">College / institute — </w:t>
      </w:r>
      <w:r>
        <w:rPr>
          <w:rFonts w:ascii="Arial" w:cs="Arial" w:eastAsia="Arial" w:hAnsi="Arial"/>
          <w:sz w:val="24"/>
          <w:szCs w:val="24"/>
        </w:rPr>
        <w:t xml:space="preserve">the demand side and paying customer; represented by a placement cell or faculty coordinator. Browses, invites, posts needs.</w:t>
      </w:r>
    </w:p>
    <w:p>
      <w:pPr>
        <w:pStyle w:val="ListParagraph"/>
        <w:numPr>
          <w:ilvl w:val="0"/>
          <w:numId w:val="2"/>
        </w:numPr>
        <w:spacing w:after="40"/>
      </w:pPr>
      <w:r>
        <w:rPr>
          <w:rFonts w:ascii="Arial" w:cs="Arial" w:eastAsia="Arial" w:hAnsi="Arial"/>
          <w:b/>
          <w:bCs/>
          <w:sz w:val="24"/>
          <w:szCs w:val="24"/>
        </w:rPr>
        <w:t xml:space="preserve">Student — </w:t>
      </w:r>
      <w:r>
        <w:rPr>
          <w:rFonts w:ascii="Arial" w:cs="Arial" w:eastAsia="Arial" w:hAnsi="Arial"/>
          <w:sz w:val="24"/>
          <w:szCs w:val="24"/>
        </w:rPr>
        <w:t xml:space="preserve">indirect beneficiary; experiences better lectures (not a direct user of this feature).</w:t>
      </w:r>
    </w:p>
    <w:p>
      <w:pPr>
        <w:pStyle w:val="ListParagraph"/>
        <w:numPr>
          <w:ilvl w:val="0"/>
          <w:numId w:val="2"/>
        </w:numPr>
        <w:spacing w:after="40"/>
      </w:pPr>
      <w:r>
        <w:rPr>
          <w:rFonts w:ascii="Arial" w:cs="Arial" w:eastAsia="Arial" w:hAnsi="Arial"/>
          <w:b/>
          <w:bCs/>
          <w:sz w:val="24"/>
          <w:szCs w:val="24"/>
        </w:rPr>
        <w:t xml:space="preserve">Admin — </w:t>
      </w:r>
      <w:r>
        <w:rPr>
          <w:rFonts w:ascii="Arial" w:cs="Arial" w:eastAsia="Arial" w:hAnsi="Arial"/>
          <w:sz w:val="24"/>
          <w:szCs w:val="24"/>
        </w:rPr>
        <w:t xml:space="preserve">runs verification, moderation, and (if chosen) matchmaking for posted needs.</w:t>
      </w:r>
    </w:p>
    <w:p>
      <w:pPr>
        <w:pStyle w:val="Heading1"/>
      </w:pPr>
      <w:r>
        <w:t xml:space="preserve">4. Key Concepts</w:t>
      </w:r>
    </w:p>
    <w:p>
      <w:pPr>
        <w:spacing w:after="120"/>
      </w:pPr>
      <w:r>
        <w:rPr>
          <w:rFonts w:ascii="Arial" w:cs="Arial" w:eastAsia="Arial" w:hAnsi="Arial"/>
          <w:b/>
          <w:bCs/>
          <w:sz w:val="24"/>
          <w:szCs w:val="24"/>
        </w:rPr>
        <w:t xml:space="preserve">Unified professional profile. </w:t>
      </w:r>
      <w:r>
        <w:rPr>
          <w:rFonts w:ascii="Arial" w:cs="Arial" w:eastAsia="Arial" w:hAnsi="Arial"/>
          <w:sz w:val="24"/>
          <w:szCs w:val="24"/>
        </w:rPr>
        <w:t xml:space="preserve">A professional has one profile, not separate ones per service. The profile shows a tab for each service they have opted into — Overview, Guest Lectures, Mentorship (and Mock Interviews later). Only the services they actually offer appear as tabs.</w:t>
      </w:r>
    </w:p>
    <w:p>
      <w:pPr>
        <w:spacing w:after="120"/>
      </w:pPr>
      <w:r>
        <w:rPr>
          <w:rFonts w:ascii="Arial" w:cs="Arial" w:eastAsia="Arial" w:hAnsi="Arial"/>
          <w:b/>
          <w:bCs/>
          <w:sz w:val="24"/>
          <w:szCs w:val="24"/>
        </w:rPr>
        <w:t xml:space="preserve">Context-aware entry. </w:t>
      </w:r>
      <w:r>
        <w:rPr>
          <w:rFonts w:ascii="Arial" w:cs="Arial" w:eastAsia="Arial" w:hAnsi="Arial"/>
          <w:sz w:val="24"/>
          <w:szCs w:val="24"/>
        </w:rPr>
        <w:t xml:space="preserve">The entry point sets the default tab: arriving from the guest-lecture discovery page opens the Guest Lectures tab; arriving from the mentor directory opens Mentorship. The other tabs stay visible to encourage cross-discovery.</w:t>
      </w:r>
    </w:p>
    <w:p>
      <w:pPr>
        <w:spacing w:after="120"/>
      </w:pPr>
      <w:r>
        <w:rPr>
          <w:rFonts w:ascii="Arial" w:cs="Arial" w:eastAsia="Arial" w:hAnsi="Arial"/>
          <w:b/>
          <w:bCs/>
          <w:sz w:val="24"/>
          <w:szCs w:val="24"/>
        </w:rPr>
        <w:t xml:space="preserve">Different buyer per service. </w:t>
      </w:r>
      <w:r>
        <w:rPr>
          <w:rFonts w:ascii="Arial" w:cs="Arial" w:eastAsia="Arial" w:hAnsi="Arial"/>
          <w:sz w:val="24"/>
          <w:szCs w:val="24"/>
        </w:rPr>
        <w:t xml:space="preserve">Guest lectures are a B2B sale to colleges (honorarium, campus logistics); mentorship is a B2C sale to students (per-session price). The shared header builds trust; each tab carries its own content, pricing model, and call to action.</w:t>
      </w:r>
    </w:p>
    <w:p>
      <w:pPr>
        <w:spacing w:after="120"/>
      </w:pPr>
      <w:r>
        <w:rPr>
          <w:rFonts w:ascii="Arial" w:cs="Arial" w:eastAsia="Arial" w:hAnsi="Arial"/>
          <w:b/>
          <w:bCs/>
          <w:sz w:val="24"/>
          <w:szCs w:val="24"/>
        </w:rPr>
        <w:t xml:space="preserve">Verification = legitimacy only. </w:t>
      </w:r>
      <w:r>
        <w:rPr>
          <w:rFonts w:ascii="Arial" w:cs="Arial" w:eastAsia="Arial" w:hAnsi="Arial"/>
          <w:sz w:val="24"/>
          <w:szCs w:val="24"/>
        </w:rPr>
        <w:t xml:space="preserve">Verification confirms the person is real and works where they claim — not whether they are a good speaker.</w:t>
      </w:r>
    </w:p>
    <w:p>
      <w:pPr>
        <w:pStyle w:val="Heading1"/>
      </w:pPr>
      <w:r>
        <w:t xml:space="preserve">5. Functional Requirements</w:t>
      </w:r>
    </w:p>
    <w:p>
      <w:pPr>
        <w:pStyle w:val="Heading2"/>
      </w:pPr>
      <w:r>
        <w:t xml:space="preserve">5.1 Professional registration &amp; onboarding (unified signup)</w:t>
      </w:r>
    </w:p>
    <w:p>
      <w:pPr>
        <w:spacing w:after="120"/>
      </w:pPr>
      <w:r>
        <w:rPr>
          <w:rFonts w:ascii="Arial" w:cs="Arial" w:eastAsia="Arial" w:hAnsi="Arial"/>
          <w:sz w:val="24"/>
          <w:szCs w:val="24"/>
        </w:rPr>
        <w:t xml:space="preserve">A single signup serves both guest lectures and mentorship, built as a short stepped flow with save-and-resume so busy professionals can finish later:</w:t>
      </w:r>
    </w:p>
    <w:p>
      <w:pPr>
        <w:pStyle w:val="ListParagraph"/>
        <w:numPr>
          <w:ilvl w:val="0"/>
          <w:numId w:val="3"/>
        </w:numPr>
        <w:spacing w:after="40"/>
      </w:pPr>
      <w:r>
        <w:rPr>
          <w:rFonts w:ascii="Arial" w:cs="Arial" w:eastAsia="Arial" w:hAnsi="Arial"/>
          <w:b/>
          <w:bCs/>
          <w:sz w:val="24"/>
          <w:szCs w:val="24"/>
        </w:rPr>
        <w:t xml:space="preserve">Account basics — </w:t>
      </w:r>
      <w:r>
        <w:rPr>
          <w:rFonts w:ascii="Arial" w:cs="Arial" w:eastAsia="Arial" w:hAnsi="Arial"/>
          <w:sz w:val="24"/>
          <w:szCs w:val="24"/>
        </w:rPr>
        <w:t xml:space="preserve">name, email, phone, password (kept light so they get “in”).</w:t>
      </w:r>
    </w:p>
    <w:p>
      <w:pPr>
        <w:pStyle w:val="ListParagraph"/>
        <w:numPr>
          <w:ilvl w:val="0"/>
          <w:numId w:val="3"/>
        </w:numPr>
        <w:spacing w:after="40"/>
      </w:pPr>
      <w:r>
        <w:rPr>
          <w:rFonts w:ascii="Arial" w:cs="Arial" w:eastAsia="Arial" w:hAnsi="Arial"/>
          <w:b/>
          <w:bCs/>
          <w:sz w:val="24"/>
          <w:szCs w:val="24"/>
        </w:rPr>
        <w:t xml:space="preserve">Professional details — </w:t>
      </w:r>
      <w:r>
        <w:rPr>
          <w:rFonts w:ascii="Arial" w:cs="Arial" w:eastAsia="Arial" w:hAnsi="Arial"/>
          <w:sz w:val="24"/>
          <w:szCs w:val="24"/>
        </w:rPr>
        <w:t xml:space="preserve">current role, company, LinkedIn, years of experience, location, photo, short bio, expertise/domains.</w:t>
      </w:r>
    </w:p>
    <w:p>
      <w:pPr>
        <w:pStyle w:val="ListParagraph"/>
        <w:numPr>
          <w:ilvl w:val="0"/>
          <w:numId w:val="3"/>
        </w:numPr>
        <w:spacing w:after="40"/>
      </w:pPr>
      <w:r>
        <w:rPr>
          <w:rFonts w:ascii="Arial" w:cs="Arial" w:eastAsia="Arial" w:hAnsi="Arial"/>
          <w:b/>
          <w:bCs/>
          <w:sz w:val="24"/>
          <w:szCs w:val="24"/>
        </w:rPr>
        <w:t xml:space="preserve">What do you offer? — </w:t>
      </w:r>
      <w:r>
        <w:rPr>
          <w:rFonts w:ascii="Arial" w:cs="Arial" w:eastAsia="Arial" w:hAnsi="Arial"/>
          <w:sz w:val="24"/>
          <w:szCs w:val="24"/>
        </w:rPr>
        <w:t xml:space="preserve">select Guest lectures, Mentorship, or both.</w:t>
      </w:r>
    </w:p>
    <w:p>
      <w:pPr>
        <w:pStyle w:val="ListParagraph"/>
        <w:numPr>
          <w:ilvl w:val="0"/>
          <w:numId w:val="3"/>
        </w:numPr>
        <w:spacing w:after="40"/>
      </w:pPr>
      <w:r>
        <w:rPr>
          <w:rFonts w:ascii="Arial" w:cs="Arial" w:eastAsia="Arial" w:hAnsi="Arial"/>
          <w:b/>
          <w:bCs/>
          <w:sz w:val="24"/>
          <w:szCs w:val="24"/>
        </w:rPr>
        <w:t xml:space="preserve">Service details — </w:t>
      </w:r>
      <w:r>
        <w:rPr>
          <w:rFonts w:ascii="Arial" w:cs="Arial" w:eastAsia="Arial" w:hAnsi="Arial"/>
          <w:sz w:val="24"/>
          <w:szCs w:val="24"/>
        </w:rPr>
        <w:t xml:space="preserve">only the selected services appear. For guest lectures: lecture topics, formats (online / on-campus), languages, willingness to travel, honorarium expectation, optional sample-talk links. For mentorship: areas, session types, per-session price, availability.</w:t>
      </w:r>
    </w:p>
    <w:p>
      <w:pPr>
        <w:pStyle w:val="ListParagraph"/>
        <w:numPr>
          <w:ilvl w:val="0"/>
          <w:numId w:val="3"/>
        </w:numPr>
        <w:spacing w:after="40"/>
      </w:pPr>
      <w:r>
        <w:rPr>
          <w:rFonts w:ascii="Arial" w:cs="Arial" w:eastAsia="Arial" w:hAnsi="Arial"/>
          <w:b/>
          <w:bCs/>
          <w:sz w:val="24"/>
          <w:szCs w:val="24"/>
        </w:rPr>
        <w:t xml:space="preserve">Verification documents — </w:t>
      </w:r>
      <w:r>
        <w:rPr>
          <w:rFonts w:ascii="Arial" w:cs="Arial" w:eastAsia="Arial" w:hAnsi="Arial"/>
          <w:sz w:val="24"/>
          <w:szCs w:val="24"/>
        </w:rPr>
        <w:t xml:space="preserve">upload ID and proof of role (work email or LinkedIn plus employment proof).</w:t>
      </w:r>
    </w:p>
    <w:p>
      <w:pPr>
        <w:pStyle w:val="ListParagraph"/>
        <w:numPr>
          <w:ilvl w:val="0"/>
          <w:numId w:val="3"/>
        </w:numPr>
        <w:spacing w:after="40"/>
      </w:pPr>
      <w:r>
        <w:rPr>
          <w:rFonts w:ascii="Arial" w:cs="Arial" w:eastAsia="Arial" w:hAnsi="Arial"/>
          <w:b/>
          <w:bCs/>
          <w:sz w:val="24"/>
          <w:szCs w:val="24"/>
        </w:rPr>
        <w:t xml:space="preserve">Review &amp; submit — </w:t>
      </w:r>
      <w:r>
        <w:rPr>
          <w:rFonts w:ascii="Arial" w:cs="Arial" w:eastAsia="Arial" w:hAnsi="Arial"/>
          <w:sz w:val="24"/>
          <w:szCs w:val="24"/>
        </w:rPr>
        <w:t xml:space="preserve">submission enters the admin review queue.</w:t>
      </w:r>
    </w:p>
    <w:p>
      <w:pPr>
        <w:pStyle w:val="Heading2"/>
      </w:pPr>
      <w:r>
        <w:t xml:space="preserve">5.2 Verification (admin-controlled)</w:t>
      </w:r>
    </w:p>
    <w:p>
      <w:pPr>
        <w:pStyle w:val="ListParagraph"/>
        <w:numPr>
          <w:ilvl w:val="0"/>
          <w:numId w:val="2"/>
        </w:numPr>
        <w:spacing w:after="40"/>
      </w:pPr>
      <w:r>
        <w:rPr>
          <w:rFonts w:ascii="Arial" w:cs="Arial" w:eastAsia="Arial" w:hAnsi="Arial"/>
          <w:sz w:val="24"/>
          <w:szCs w:val="24"/>
        </w:rPr>
        <w:t xml:space="preserve">Verification checks legitimacy only — that the person is real and works where they claim (ID + work email/LinkedIn + employment proof). This also prevents impersonation.</w:t>
      </w:r>
    </w:p>
    <w:p>
      <w:pPr>
        <w:pStyle w:val="ListParagraph"/>
        <w:numPr>
          <w:ilvl w:val="0"/>
          <w:numId w:val="2"/>
        </w:numPr>
        <w:spacing w:after="40"/>
      </w:pPr>
      <w:r>
        <w:rPr>
          <w:rFonts w:ascii="Arial" w:cs="Arial" w:eastAsia="Arial" w:hAnsi="Arial"/>
          <w:sz w:val="24"/>
          <w:szCs w:val="24"/>
        </w:rPr>
        <w:t xml:space="preserve">Submissions move through a clear pipeline: Draft → Submitted → Under review → Approved / Rejected (with reason) / Needs more info.</w:t>
      </w:r>
    </w:p>
    <w:p>
      <w:pPr>
        <w:pStyle w:val="ListParagraph"/>
        <w:numPr>
          <w:ilvl w:val="0"/>
          <w:numId w:val="2"/>
        </w:numPr>
        <w:spacing w:after="40"/>
      </w:pPr>
      <w:r>
        <w:rPr>
          <w:rFonts w:ascii="Arial" w:cs="Arial" w:eastAsia="Arial" w:hAnsi="Arial"/>
          <w:sz w:val="24"/>
          <w:szCs w:val="24"/>
        </w:rPr>
        <w:t xml:space="preserve">On approval, the profile is automatically listed on the site.</w:t>
      </w:r>
    </w:p>
    <w:p>
      <w:pPr>
        <w:pStyle w:val="ListParagraph"/>
        <w:numPr>
          <w:ilvl w:val="0"/>
          <w:numId w:val="2"/>
        </w:numPr>
        <w:spacing w:after="40"/>
      </w:pPr>
      <w:r>
        <w:rPr>
          <w:rFonts w:ascii="Arial" w:cs="Arial" w:eastAsia="Arial" w:hAnsi="Arial"/>
          <w:sz w:val="24"/>
          <w:szCs w:val="24"/>
        </w:rPr>
        <w:t xml:space="preserve">Edits to key fields later (especially a changed company or role) quietly re-trigger review.</w:t>
      </w:r>
    </w:p>
    <w:p>
      <w:pPr>
        <w:pStyle w:val="ListParagraph"/>
        <w:numPr>
          <w:ilvl w:val="0"/>
          <w:numId w:val="2"/>
        </w:numPr>
        <w:spacing w:after="40"/>
      </w:pPr>
      <w:r>
        <w:rPr>
          <w:rFonts w:ascii="Arial" w:cs="Arial" w:eastAsia="Arial" w:hAnsi="Arial"/>
          <w:sz w:val="24"/>
          <w:szCs w:val="24"/>
        </w:rPr>
        <w:t xml:space="preserve">Manual review is acceptable at launch; as volume grows, lean on LinkedIn/work-email checks to reduce manual load.</w:t>
      </w:r>
    </w:p>
    <w:p>
      <w:pPr>
        <w:pStyle w:val="Heading2"/>
      </w:pPr>
      <w:r>
        <w:t xml:space="preserve">5.3 Unified professional profile page</w:t>
      </w:r>
    </w:p>
    <w:p>
      <w:pPr>
        <w:pStyle w:val="ListParagraph"/>
        <w:numPr>
          <w:ilvl w:val="0"/>
          <w:numId w:val="2"/>
        </w:numPr>
        <w:spacing w:after="40"/>
      </w:pPr>
      <w:r>
        <w:rPr>
          <w:rFonts w:ascii="Arial" w:cs="Arial" w:eastAsia="Arial" w:hAnsi="Arial"/>
          <w:b/>
          <w:bCs/>
          <w:sz w:val="24"/>
          <w:szCs w:val="24"/>
        </w:rPr>
        <w:t xml:space="preserve">Shared header: </w:t>
      </w:r>
      <w:r>
        <w:rPr>
          <w:rFonts w:ascii="Arial" w:cs="Arial" w:eastAsia="Arial" w:hAnsi="Arial"/>
          <w:sz w:val="24"/>
          <w:szCs w:val="24"/>
        </w:rPr>
        <w:t xml:space="preserve">photo, name, current role + company, expertise tags, location, verification badge, and key stats (e.g., lectures delivered, institutes served, years of experience).</w:t>
      </w:r>
    </w:p>
    <w:p>
      <w:pPr>
        <w:pStyle w:val="ListParagraph"/>
        <w:numPr>
          <w:ilvl w:val="0"/>
          <w:numId w:val="2"/>
        </w:numPr>
        <w:spacing w:after="40"/>
      </w:pPr>
      <w:r>
        <w:rPr>
          <w:rFonts w:ascii="Arial" w:cs="Arial" w:eastAsia="Arial" w:hAnsi="Arial"/>
          <w:b/>
          <w:bCs/>
          <w:sz w:val="24"/>
          <w:szCs w:val="24"/>
        </w:rPr>
        <w:t xml:space="preserve">Dynamic tabs: </w:t>
      </w:r>
      <w:r>
        <w:rPr>
          <w:rFonts w:ascii="Arial" w:cs="Arial" w:eastAsia="Arial" w:hAnsi="Arial"/>
          <w:sz w:val="24"/>
          <w:szCs w:val="24"/>
        </w:rPr>
        <w:t xml:space="preserve">only the services the professional offers are shown; entry point sets the default tab; other tabs remain visible.</w:t>
      </w:r>
    </w:p>
    <w:p>
      <w:pPr>
        <w:pStyle w:val="ListParagraph"/>
        <w:numPr>
          <w:ilvl w:val="0"/>
          <w:numId w:val="2"/>
        </w:numPr>
        <w:spacing w:after="40"/>
      </w:pPr>
      <w:r>
        <w:rPr>
          <w:rFonts w:ascii="Arial" w:cs="Arial" w:eastAsia="Arial" w:hAnsi="Arial"/>
          <w:b/>
          <w:bCs/>
          <w:sz w:val="24"/>
          <w:szCs w:val="24"/>
        </w:rPr>
        <w:t xml:space="preserve">Guest Lectures tab: </w:t>
      </w:r>
      <w:r>
        <w:rPr>
          <w:rFonts w:ascii="Arial" w:cs="Arial" w:eastAsia="Arial" w:hAnsi="Arial"/>
          <w:sz w:val="24"/>
          <w:szCs w:val="24"/>
        </w:rPr>
        <w:t xml:space="preserve">bio, the specific topics they speak on (with short descriptions), sample videos or slides of past talks, formats and logistics (online/on-campus, duration, languages, travel, fee or “on request”), reviews from colleges, an availability indicator, and a primary “Invite / Request a session” CTA.</w:t>
      </w:r>
    </w:p>
    <w:p>
      <w:pPr>
        <w:pStyle w:val="ListParagraph"/>
        <w:numPr>
          <w:ilvl w:val="0"/>
          <w:numId w:val="2"/>
        </w:numPr>
        <w:spacing w:after="40"/>
      </w:pPr>
      <w:r>
        <w:rPr>
          <w:rFonts w:ascii="Arial" w:cs="Arial" w:eastAsia="Arial" w:hAnsi="Arial"/>
          <w:b/>
          <w:bCs/>
          <w:sz w:val="24"/>
          <w:szCs w:val="24"/>
        </w:rPr>
        <w:t xml:space="preserve">Mentorship tab: </w:t>
      </w:r>
      <w:r>
        <w:rPr>
          <w:rFonts w:ascii="Arial" w:cs="Arial" w:eastAsia="Arial" w:hAnsi="Arial"/>
          <w:sz w:val="24"/>
          <w:szCs w:val="24"/>
        </w:rPr>
        <w:t xml:space="preserve">detailed in the separate mentorship spec; here it carries its own “Book a session” CTA and per-session (B2C) pricing.</w:t>
      </w:r>
    </w:p>
    <w:p>
      <w:pPr>
        <w:pStyle w:val="Heading2"/>
      </w:pPr>
      <w:r>
        <w:t xml:space="preserve">5.4 Speaker discovery page (browse — for colleges)</w:t>
      </w:r>
    </w:p>
    <w:p>
      <w:pPr>
        <w:pStyle w:val="ListParagraph"/>
        <w:numPr>
          <w:ilvl w:val="0"/>
          <w:numId w:val="2"/>
        </w:numPr>
        <w:spacing w:after="40"/>
      </w:pPr>
      <w:r>
        <w:rPr>
          <w:rFonts w:ascii="Arial" w:cs="Arial" w:eastAsia="Arial" w:hAnsi="Arial"/>
          <w:sz w:val="24"/>
          <w:szCs w:val="24"/>
        </w:rPr>
        <w:t xml:space="preserve">Hero with a clear value line and a prominent search (by topic, domain, or name).</w:t>
      </w:r>
    </w:p>
    <w:p>
      <w:pPr>
        <w:pStyle w:val="ListParagraph"/>
        <w:numPr>
          <w:ilvl w:val="0"/>
          <w:numId w:val="2"/>
        </w:numPr>
        <w:spacing w:after="40"/>
      </w:pPr>
      <w:r>
        <w:rPr>
          <w:rFonts w:ascii="Arial" w:cs="Arial" w:eastAsia="Arial" w:hAnsi="Arial"/>
          <w:sz w:val="24"/>
          <w:szCs w:val="24"/>
        </w:rPr>
        <w:t xml:space="preserve">Filters: domain/expertise (Marketing, Finance, Strategy, Analytics, Entrepreneurship, etc.), industry, format (online vs on-campus), language, city (for travel), fee range, rating, and availability.</w:t>
      </w:r>
    </w:p>
    <w:p>
      <w:pPr>
        <w:pStyle w:val="ListParagraph"/>
        <w:numPr>
          <w:ilvl w:val="0"/>
          <w:numId w:val="2"/>
        </w:numPr>
        <w:spacing w:after="40"/>
      </w:pPr>
      <w:r>
        <w:rPr>
          <w:rFonts w:ascii="Arial" w:cs="Arial" w:eastAsia="Arial" w:hAnsi="Arial"/>
          <w:sz w:val="24"/>
          <w:szCs w:val="24"/>
        </w:rPr>
        <w:t xml:space="preserve">Sorting: relevance, rating, most booked, newest.</w:t>
      </w:r>
    </w:p>
    <w:p>
      <w:pPr>
        <w:pStyle w:val="ListParagraph"/>
        <w:numPr>
          <w:ilvl w:val="0"/>
          <w:numId w:val="2"/>
        </w:numPr>
        <w:spacing w:after="40"/>
      </w:pPr>
      <w:r>
        <w:rPr>
          <w:rFonts w:ascii="Arial" w:cs="Arial" w:eastAsia="Arial" w:hAnsi="Arial"/>
          <w:sz w:val="24"/>
          <w:szCs w:val="24"/>
        </w:rPr>
        <w:t xml:space="preserve">Speaker cards: photo, name, role + company, one-line specialty, top topic tags, rating and “X lectures delivered,” format badges, a fee indicator, and a “View profile” button.</w:t>
      </w:r>
    </w:p>
    <w:p>
      <w:pPr>
        <w:pStyle w:val="ListParagraph"/>
        <w:numPr>
          <w:ilvl w:val="0"/>
          <w:numId w:val="2"/>
        </w:numPr>
        <w:spacing w:after="40"/>
      </w:pPr>
      <w:r>
        <w:rPr>
          <w:rFonts w:ascii="Arial" w:cs="Arial" w:eastAsia="Arial" w:hAnsi="Arial"/>
          <w:sz w:val="24"/>
          <w:szCs w:val="24"/>
        </w:rPr>
        <w:t xml:space="preserve">Curated rows for trust and discovery: “Top rated,” “Popular for [domain],” “Available this month.”</w:t>
      </w:r>
    </w:p>
    <w:p>
      <w:pPr>
        <w:pStyle w:val="ListParagraph"/>
        <w:numPr>
          <w:ilvl w:val="0"/>
          <w:numId w:val="2"/>
        </w:numPr>
        <w:spacing w:after="40"/>
      </w:pPr>
      <w:r>
        <w:rPr>
          <w:rFonts w:ascii="Arial" w:cs="Arial" w:eastAsia="Arial" w:hAnsi="Arial"/>
          <w:sz w:val="24"/>
          <w:szCs w:val="24"/>
        </w:rPr>
        <w:t xml:space="preserve">Trust elements throughout: institute logos, lecture counts, verification badges.</w:t>
      </w:r>
    </w:p>
    <w:p>
      <w:pPr>
        <w:pStyle w:val="ListParagraph"/>
        <w:numPr>
          <w:ilvl w:val="0"/>
          <w:numId w:val="2"/>
        </w:numPr>
        <w:spacing w:after="40"/>
      </w:pPr>
      <w:r>
        <w:rPr>
          <w:rFonts w:ascii="Arial" w:cs="Arial" w:eastAsia="Arial" w:hAnsi="Arial"/>
          <w:sz w:val="24"/>
          <w:szCs w:val="24"/>
        </w:rPr>
        <w:t xml:space="preserve">A supply-side CTA banner: “Are you an industry professional? List yourself as a speaker.”</w:t>
      </w:r>
    </w:p>
    <w:p>
      <w:pPr>
        <w:pStyle w:val="Heading2"/>
      </w:pPr>
      <w:r>
        <w:t xml:space="preserve">5.5 Invite / booking flow (from a speaker profile)</w:t>
      </w:r>
    </w:p>
    <w:p>
      <w:pPr>
        <w:pStyle w:val="ListParagraph"/>
        <w:numPr>
          <w:ilvl w:val="0"/>
          <w:numId w:val="2"/>
        </w:numPr>
        <w:spacing w:after="40"/>
      </w:pPr>
      <w:r>
        <w:rPr>
          <w:rFonts w:ascii="Arial" w:cs="Arial" w:eastAsia="Arial" w:hAnsi="Arial"/>
          <w:sz w:val="24"/>
          <w:szCs w:val="24"/>
        </w:rPr>
        <w:t xml:space="preserve">College clicks “Invite / Request a session” on a speaker’s Guest Lectures tab.</w:t>
      </w:r>
    </w:p>
    <w:p>
      <w:pPr>
        <w:pStyle w:val="ListParagraph"/>
        <w:numPr>
          <w:ilvl w:val="0"/>
          <w:numId w:val="2"/>
        </w:numPr>
        <w:spacing w:after="40"/>
      </w:pPr>
      <w:r>
        <w:rPr>
          <w:rFonts w:ascii="Arial" w:cs="Arial" w:eastAsia="Arial" w:hAnsi="Arial"/>
          <w:sz w:val="24"/>
          <w:szCs w:val="24"/>
        </w:rPr>
        <w:t xml:space="preserve">Request form captures: date(s), topic, audience size, format (online/on-campus), location (if on-campus), duration, budget/honorarium, and a message.</w:t>
      </w:r>
    </w:p>
    <w:p>
      <w:pPr>
        <w:pStyle w:val="ListParagraph"/>
        <w:numPr>
          <w:ilvl w:val="0"/>
          <w:numId w:val="2"/>
        </w:numPr>
        <w:spacing w:after="40"/>
      </w:pPr>
      <w:r>
        <w:rPr>
          <w:rFonts w:ascii="Arial" w:cs="Arial" w:eastAsia="Arial" w:hAnsi="Arial"/>
          <w:sz w:val="24"/>
          <w:szCs w:val="24"/>
        </w:rPr>
        <w:t xml:space="preserve">The speaker receives the request and can accept, decline, or propose changes.</w:t>
      </w:r>
    </w:p>
    <w:p>
      <w:pPr>
        <w:pStyle w:val="ListParagraph"/>
        <w:numPr>
          <w:ilvl w:val="0"/>
          <w:numId w:val="2"/>
        </w:numPr>
        <w:spacing w:after="40"/>
      </w:pPr>
      <w:r>
        <w:rPr>
          <w:rFonts w:ascii="Arial" w:cs="Arial" w:eastAsia="Arial" w:hAnsi="Arial"/>
          <w:sz w:val="24"/>
          <w:szCs w:val="24"/>
        </w:rPr>
        <w:t xml:space="preserve">On acceptance, the two parties coordinate logistics and honorarium.</w:t>
      </w:r>
    </w:p>
    <w:p>
      <w:pPr>
        <w:pStyle w:val="ListParagraph"/>
        <w:numPr>
          <w:ilvl w:val="0"/>
          <w:numId w:val="2"/>
        </w:numPr>
        <w:spacing w:after="40"/>
      </w:pPr>
      <w:r>
        <w:rPr>
          <w:rFonts w:ascii="Arial" w:cs="Arial" w:eastAsia="Arial" w:hAnsi="Arial"/>
          <w:sz w:val="24"/>
          <w:szCs w:val="24"/>
        </w:rPr>
        <w:t xml:space="preserve">Both sides can see the request status.</w:t>
      </w:r>
    </w:p>
    <w:p>
      <w:pPr>
        <w:pStyle w:val="Heading2"/>
      </w:pPr>
      <w:r>
        <w:t xml:space="preserve">5.6 “Register your needs” form (post-a-need — for colleges)</w:t>
      </w:r>
    </w:p>
    <w:p>
      <w:pPr>
        <w:pStyle w:val="ListParagraph"/>
        <w:numPr>
          <w:ilvl w:val="0"/>
          <w:numId w:val="2"/>
        </w:numPr>
        <w:spacing w:after="40"/>
      </w:pPr>
      <w:r>
        <w:rPr>
          <w:rFonts w:ascii="Arial" w:cs="Arial" w:eastAsia="Arial" w:hAnsi="Arial"/>
          <w:sz w:val="24"/>
          <w:szCs w:val="24"/>
        </w:rPr>
        <w:t xml:space="preserve">A college posts a requirement: topic/domain, date window, format, audience size, budget, and location.</w:t>
      </w:r>
    </w:p>
    <w:p>
      <w:pPr>
        <w:pStyle w:val="ListParagraph"/>
        <w:numPr>
          <w:ilvl w:val="0"/>
          <w:numId w:val="2"/>
        </w:numPr>
        <w:spacing w:after="40"/>
      </w:pPr>
      <w:r>
        <w:rPr>
          <w:rFonts w:ascii="Arial" w:cs="Arial" w:eastAsia="Arial" w:hAnsi="Arial"/>
          <w:sz w:val="24"/>
          <w:szCs w:val="24"/>
        </w:rPr>
        <w:t xml:space="preserve">Fulfillment model is an open decision (Section 11): either admin matchmaking (admin reviews and suggests/contacts suitable speakers) or broadcast (the need is shown to relevant speakers who can respond).</w:t>
      </w:r>
    </w:p>
    <w:p>
      <w:pPr>
        <w:pStyle w:val="ListParagraph"/>
        <w:numPr>
          <w:ilvl w:val="0"/>
          <w:numId w:val="2"/>
        </w:numPr>
        <w:spacing w:after="40"/>
      </w:pPr>
      <w:r>
        <w:rPr>
          <w:rFonts w:ascii="Arial" w:cs="Arial" w:eastAsia="Arial" w:hAnsi="Arial"/>
          <w:sz w:val="24"/>
          <w:szCs w:val="24"/>
        </w:rPr>
        <w:t xml:space="preserve">The college reviews matches/responses and proceeds to an invite.</w:t>
      </w:r>
    </w:p>
    <w:p>
      <w:pPr>
        <w:pStyle w:val="Heading2"/>
      </w:pPr>
      <w:r>
        <w:t xml:space="preserve">5.7 College / institute accounts</w:t>
      </w:r>
    </w:p>
    <w:p>
      <w:pPr>
        <w:pStyle w:val="ListParagraph"/>
        <w:numPr>
          <w:ilvl w:val="0"/>
          <w:numId w:val="2"/>
        </w:numPr>
        <w:spacing w:after="40"/>
      </w:pPr>
      <w:r>
        <w:rPr>
          <w:rFonts w:ascii="Arial" w:cs="Arial" w:eastAsia="Arial" w:hAnsi="Arial"/>
          <w:sz w:val="24"/>
          <w:szCs w:val="24"/>
        </w:rPr>
        <w:t xml:space="preserve">An institution registers with a contact/coordinator.</w:t>
      </w:r>
    </w:p>
    <w:p>
      <w:pPr>
        <w:pStyle w:val="ListParagraph"/>
        <w:numPr>
          <w:ilvl w:val="0"/>
          <w:numId w:val="2"/>
        </w:numPr>
        <w:spacing w:after="40"/>
      </w:pPr>
      <w:r>
        <w:rPr>
          <w:rFonts w:ascii="Arial" w:cs="Arial" w:eastAsia="Arial" w:hAnsi="Arial"/>
          <w:sz w:val="24"/>
          <w:szCs w:val="24"/>
        </w:rPr>
        <w:t xml:space="preserve">It can manage requests, saved speakers, and past bookings.</w:t>
      </w:r>
    </w:p>
    <w:p>
      <w:pPr>
        <w:pStyle w:val="ListParagraph"/>
        <w:numPr>
          <w:ilvl w:val="0"/>
          <w:numId w:val="2"/>
        </w:numPr>
        <w:spacing w:after="40"/>
      </w:pPr>
      <w:r>
        <w:rPr>
          <w:rFonts w:ascii="Arial" w:cs="Arial" w:eastAsia="Arial" w:hAnsi="Arial"/>
          <w:sz w:val="24"/>
          <w:szCs w:val="24"/>
        </w:rPr>
        <w:t xml:space="preserve">Light verification of the institution may be desirable (open decision).</w:t>
      </w:r>
    </w:p>
    <w:p>
      <w:pPr>
        <w:pStyle w:val="Heading2"/>
      </w:pPr>
      <w:r>
        <w:t xml:space="preserve">5.8 “For Professionals” landing page</w:t>
      </w:r>
    </w:p>
    <w:p>
      <w:pPr>
        <w:pStyle w:val="ListParagraph"/>
        <w:numPr>
          <w:ilvl w:val="0"/>
          <w:numId w:val="2"/>
        </w:numPr>
        <w:spacing w:after="40"/>
      </w:pPr>
      <w:r>
        <w:rPr>
          <w:rFonts w:ascii="Arial" w:cs="Arial" w:eastAsia="Arial" w:hAnsi="Arial"/>
          <w:sz w:val="24"/>
          <w:szCs w:val="24"/>
        </w:rPr>
        <w:t xml:space="preserve">A dedicated pitch page that sells joining: reach students and colleges, build your profile and personal brand, earn, give back, and flexibility.</w:t>
      </w:r>
    </w:p>
    <w:p>
      <w:pPr>
        <w:pStyle w:val="ListParagraph"/>
        <w:numPr>
          <w:ilvl w:val="0"/>
          <w:numId w:val="2"/>
        </w:numPr>
        <w:spacing w:after="40"/>
      </w:pPr>
      <w:r>
        <w:rPr>
          <w:rFonts w:ascii="Arial" w:cs="Arial" w:eastAsia="Arial" w:hAnsi="Arial"/>
          <w:sz w:val="24"/>
          <w:szCs w:val="24"/>
        </w:rPr>
        <w:t xml:space="preserve">A simple “How it works” (Sign up → Get verified → Get discovered and booked).</w:t>
      </w:r>
    </w:p>
    <w:p>
      <w:pPr>
        <w:pStyle w:val="ListParagraph"/>
        <w:numPr>
          <w:ilvl w:val="0"/>
          <w:numId w:val="2"/>
        </w:numPr>
        <w:spacing w:after="40"/>
      </w:pPr>
      <w:r>
        <w:rPr>
          <w:rFonts w:ascii="Arial" w:cs="Arial" w:eastAsia="Arial" w:hAnsi="Arial"/>
          <w:sz w:val="24"/>
          <w:szCs w:val="24"/>
        </w:rPr>
        <w:t xml:space="preserve">One clear “Apply to join” CTA leading into the signup flow (Section 5.1).</w:t>
      </w:r>
    </w:p>
    <w:p>
      <w:pPr>
        <w:pStyle w:val="ListParagraph"/>
        <w:numPr>
          <w:ilvl w:val="0"/>
          <w:numId w:val="2"/>
        </w:numPr>
        <w:spacing w:after="40"/>
      </w:pPr>
      <w:r>
        <w:rPr>
          <w:rFonts w:ascii="Arial" w:cs="Arial" w:eastAsia="Arial" w:hAnsi="Arial"/>
          <w:sz w:val="24"/>
          <w:szCs w:val="24"/>
        </w:rPr>
        <w:t xml:space="preserve">The pitch (landing page) is kept separate from the form (signup wizard) to lift conversion.</w:t>
      </w:r>
    </w:p>
    <w:p>
      <w:pPr>
        <w:pStyle w:val="Heading2"/>
      </w:pPr>
      <w:r>
        <w:t xml:space="preserve">5.9 Entry points and placement</w:t>
      </w:r>
    </w:p>
    <w:p>
      <w:pPr>
        <w:pStyle w:val="ListParagraph"/>
        <w:numPr>
          <w:ilvl w:val="0"/>
          <w:numId w:val="2"/>
        </w:numPr>
        <w:spacing w:after="40"/>
      </w:pPr>
      <w:r>
        <w:rPr>
          <w:rFonts w:ascii="Arial" w:cs="Arial" w:eastAsia="Arial" w:hAnsi="Arial"/>
          <w:sz w:val="24"/>
          <w:szCs w:val="24"/>
        </w:rPr>
        <w:t xml:space="preserve">A persistent “For Professionals” link in the top navigation.</w:t>
      </w:r>
    </w:p>
    <w:p>
      <w:pPr>
        <w:pStyle w:val="ListParagraph"/>
        <w:numPr>
          <w:ilvl w:val="0"/>
          <w:numId w:val="2"/>
        </w:numPr>
        <w:spacing w:after="40"/>
      </w:pPr>
      <w:r>
        <w:rPr>
          <w:rFonts w:ascii="Arial" w:cs="Arial" w:eastAsia="Arial" w:hAnsi="Arial"/>
          <w:sz w:val="24"/>
          <w:szCs w:val="24"/>
        </w:rPr>
        <w:t xml:space="preserve">Footer links (“Become a mentor,” “List as a speaker”).</w:t>
      </w:r>
    </w:p>
    <w:p>
      <w:pPr>
        <w:pStyle w:val="ListParagraph"/>
        <w:numPr>
          <w:ilvl w:val="0"/>
          <w:numId w:val="2"/>
        </w:numPr>
        <w:spacing w:after="40"/>
      </w:pPr>
      <w:r>
        <w:rPr>
          <w:rFonts w:ascii="Arial" w:cs="Arial" w:eastAsia="Arial" w:hAnsi="Arial"/>
          <w:sz w:val="24"/>
          <w:szCs w:val="24"/>
        </w:rPr>
        <w:t xml:space="preserve">Contextual banners on the speaker discovery page and on the mentor directory — both leading to the same signup, pre-selecting the relevant service.</w:t>
      </w:r>
    </w:p>
    <w:p>
      <w:pPr>
        <w:pStyle w:val="ListParagraph"/>
        <w:numPr>
          <w:ilvl w:val="0"/>
          <w:numId w:val="2"/>
        </w:numPr>
        <w:spacing w:after="40"/>
      </w:pPr>
      <w:r>
        <w:rPr>
          <w:rFonts w:ascii="Arial" w:cs="Arial" w:eastAsia="Arial" w:hAnsi="Arial"/>
          <w:sz w:val="24"/>
          <w:szCs w:val="24"/>
        </w:rPr>
        <w:t xml:space="preserve">Optionally a homepage band targeting professionals.</w:t>
      </w:r>
    </w:p>
    <w:p>
      <w:pPr>
        <w:pStyle w:val="ListParagraph"/>
        <w:numPr>
          <w:ilvl w:val="0"/>
          <w:numId w:val="2"/>
        </w:numPr>
        <w:spacing w:after="40"/>
      </w:pPr>
      <w:r>
        <w:rPr>
          <w:rFonts w:ascii="Arial" w:cs="Arial" w:eastAsia="Arial" w:hAnsi="Arial"/>
          <w:sz w:val="24"/>
          <w:szCs w:val="24"/>
        </w:rPr>
        <w:t xml:space="preserve">The landing-page link is also used in direct LinkedIn outreach when hand-recruiting the first speakers.</w:t>
      </w:r>
    </w:p>
    <w:p>
      <w:pPr>
        <w:pStyle w:val="Heading2"/>
      </w:pPr>
      <w:r>
        <w:t xml:space="preserve">5.10 Ratings &amp; reviews</w:t>
      </w:r>
    </w:p>
    <w:p>
      <w:pPr>
        <w:pStyle w:val="ListParagraph"/>
        <w:numPr>
          <w:ilvl w:val="0"/>
          <w:numId w:val="2"/>
        </w:numPr>
        <w:spacing w:after="40"/>
      </w:pPr>
      <w:r>
        <w:rPr>
          <w:rFonts w:ascii="Arial" w:cs="Arial" w:eastAsia="Arial" w:hAnsi="Arial"/>
          <w:sz w:val="24"/>
          <w:szCs w:val="24"/>
        </w:rPr>
        <w:t xml:space="preserve">After a lecture, the college can rate and review the speaker.</w:t>
      </w:r>
    </w:p>
    <w:p>
      <w:pPr>
        <w:pStyle w:val="ListParagraph"/>
        <w:numPr>
          <w:ilvl w:val="0"/>
          <w:numId w:val="2"/>
        </w:numPr>
        <w:spacing w:after="40"/>
      </w:pPr>
      <w:r>
        <w:rPr>
          <w:rFonts w:ascii="Arial" w:cs="Arial" w:eastAsia="Arial" w:hAnsi="Arial"/>
          <w:sz w:val="24"/>
          <w:szCs w:val="24"/>
        </w:rPr>
        <w:t xml:space="preserve">Ratings and reviews appear on the profile and on discovery cards, reinforcing trust.</w:t>
      </w:r>
    </w:p>
    <w:p>
      <w:pPr>
        <w:pStyle w:val="Heading2"/>
      </w:pPr>
      <w:r>
        <w:t xml:space="preserve">5.11 Notifications</w:t>
      </w:r>
    </w:p>
    <w:p>
      <w:pPr>
        <w:pStyle w:val="ListParagraph"/>
        <w:numPr>
          <w:ilvl w:val="0"/>
          <w:numId w:val="2"/>
        </w:numPr>
        <w:spacing w:after="40"/>
      </w:pPr>
      <w:r>
        <w:rPr>
          <w:rFonts w:ascii="Arial" w:cs="Arial" w:eastAsia="Arial" w:hAnsi="Arial"/>
          <w:sz w:val="24"/>
          <w:szCs w:val="24"/>
        </w:rPr>
        <w:t xml:space="preserve">Speaker: new invite/request, verification status updates, reviews received.</w:t>
      </w:r>
    </w:p>
    <w:p>
      <w:pPr>
        <w:pStyle w:val="ListParagraph"/>
        <w:numPr>
          <w:ilvl w:val="0"/>
          <w:numId w:val="2"/>
        </w:numPr>
        <w:spacing w:after="40"/>
      </w:pPr>
      <w:r>
        <w:rPr>
          <w:rFonts w:ascii="Arial" w:cs="Arial" w:eastAsia="Arial" w:hAnsi="Arial"/>
          <w:sz w:val="24"/>
          <w:szCs w:val="24"/>
        </w:rPr>
        <w:t xml:space="preserve">College: request status, speaker responses, matches to posted needs.</w:t>
      </w:r>
    </w:p>
    <w:p>
      <w:pPr>
        <w:pStyle w:val="ListParagraph"/>
        <w:numPr>
          <w:ilvl w:val="0"/>
          <w:numId w:val="2"/>
        </w:numPr>
        <w:spacing w:after="40"/>
      </w:pPr>
      <w:r>
        <w:rPr>
          <w:rFonts w:ascii="Arial" w:cs="Arial" w:eastAsia="Arial" w:hAnsi="Arial"/>
          <w:sz w:val="24"/>
          <w:szCs w:val="24"/>
        </w:rPr>
        <w:t xml:space="preserve">Channels: in-app and email; WhatsApp/SMS recommended.</w:t>
      </w:r>
    </w:p>
    <w:p>
      <w:pPr>
        <w:pStyle w:val="Heading2"/>
      </w:pPr>
      <w:r>
        <w:t xml:space="preserve">5.12 Admin panel</w:t>
      </w:r>
    </w:p>
    <w:p>
      <w:pPr>
        <w:pStyle w:val="ListParagraph"/>
        <w:numPr>
          <w:ilvl w:val="0"/>
          <w:numId w:val="2"/>
        </w:numPr>
        <w:spacing w:after="40"/>
      </w:pPr>
      <w:r>
        <w:rPr>
          <w:rFonts w:ascii="Arial" w:cs="Arial" w:eastAsia="Arial" w:hAnsi="Arial"/>
          <w:sz w:val="24"/>
          <w:szCs w:val="24"/>
        </w:rPr>
        <w:t xml:space="preserve">Verification queue with approve / reject (with reason) / request-more-info actions.</w:t>
      </w:r>
    </w:p>
    <w:p>
      <w:pPr>
        <w:pStyle w:val="ListParagraph"/>
        <w:numPr>
          <w:ilvl w:val="0"/>
          <w:numId w:val="2"/>
        </w:numPr>
        <w:spacing w:after="40"/>
      </w:pPr>
      <w:r>
        <w:rPr>
          <w:rFonts w:ascii="Arial" w:cs="Arial" w:eastAsia="Arial" w:hAnsi="Arial"/>
          <w:sz w:val="24"/>
          <w:szCs w:val="24"/>
        </w:rPr>
        <w:t xml:space="preserve">Manage professionals, colleges, and listings.</w:t>
      </w:r>
    </w:p>
    <w:p>
      <w:pPr>
        <w:pStyle w:val="ListParagraph"/>
        <w:numPr>
          <w:ilvl w:val="0"/>
          <w:numId w:val="2"/>
        </w:numPr>
        <w:spacing w:after="40"/>
      </w:pPr>
      <w:r>
        <w:rPr>
          <w:rFonts w:ascii="Arial" w:cs="Arial" w:eastAsia="Arial" w:hAnsi="Arial"/>
          <w:sz w:val="24"/>
          <w:szCs w:val="24"/>
        </w:rPr>
        <w:t xml:space="preserve">Matchmaking tools for posted needs (if that model is chosen).</w:t>
      </w:r>
    </w:p>
    <w:p>
      <w:pPr>
        <w:pStyle w:val="ListParagraph"/>
        <w:numPr>
          <w:ilvl w:val="0"/>
          <w:numId w:val="2"/>
        </w:numPr>
        <w:spacing w:after="40"/>
      </w:pPr>
      <w:r>
        <w:rPr>
          <w:rFonts w:ascii="Arial" w:cs="Arial" w:eastAsia="Arial" w:hAnsi="Arial"/>
          <w:sz w:val="24"/>
          <w:szCs w:val="24"/>
        </w:rPr>
        <w:t xml:space="preserve">Moderation and basic analytics.</w:t>
      </w:r>
    </w:p>
    <w:p>
      <w:pPr>
        <w:pStyle w:val="Heading1"/>
      </w:pPr>
      <w:r>
        <w:t xml:space="preserve">6. Security &amp; Privacy (the “secure signup”)</w:t>
      </w:r>
    </w:p>
    <w:p>
      <w:pPr>
        <w:pStyle w:val="ListParagraph"/>
        <w:numPr>
          <w:ilvl w:val="0"/>
          <w:numId w:val="2"/>
        </w:numPr>
        <w:spacing w:after="40"/>
      </w:pPr>
      <w:r>
        <w:rPr>
          <w:rFonts w:ascii="Arial" w:cs="Arial" w:eastAsia="Arial" w:hAnsi="Arial"/>
          <w:sz w:val="24"/>
          <w:szCs w:val="24"/>
        </w:rPr>
        <w:t xml:space="preserve">HTTPS everywhere — all data encrypted in transit.</w:t>
      </w:r>
    </w:p>
    <w:p>
      <w:pPr>
        <w:pStyle w:val="ListParagraph"/>
        <w:numPr>
          <w:ilvl w:val="0"/>
          <w:numId w:val="2"/>
        </w:numPr>
        <w:spacing w:after="40"/>
      </w:pPr>
      <w:r>
        <w:rPr>
          <w:rFonts w:ascii="Arial" w:cs="Arial" w:eastAsia="Arial" w:hAnsi="Arial"/>
          <w:sz w:val="24"/>
          <w:szCs w:val="24"/>
        </w:rPr>
        <w:t xml:space="preserve">Verification documents stored encrypted and access-restricted to admins only; never on public or guessable URLs. This is the most important security requirement for this feature.</w:t>
      </w:r>
    </w:p>
    <w:p>
      <w:pPr>
        <w:pStyle w:val="ListParagraph"/>
        <w:numPr>
          <w:ilvl w:val="0"/>
          <w:numId w:val="2"/>
        </w:numPr>
        <w:spacing w:after="40"/>
      </w:pPr>
      <w:r>
        <w:rPr>
          <w:rFonts w:ascii="Arial" w:cs="Arial" w:eastAsia="Arial" w:hAnsi="Arial"/>
          <w:sz w:val="24"/>
          <w:szCs w:val="24"/>
        </w:rPr>
        <w:t xml:space="preserve">File-upload safety: accept PDF/images only, cap file size, and scan uploads.</w:t>
      </w:r>
    </w:p>
    <w:p>
      <w:pPr>
        <w:pStyle w:val="ListParagraph"/>
        <w:numPr>
          <w:ilvl w:val="0"/>
          <w:numId w:val="2"/>
        </w:numPr>
        <w:spacing w:after="40"/>
      </w:pPr>
      <w:r>
        <w:rPr>
          <w:rFonts w:ascii="Arial" w:cs="Arial" w:eastAsia="Arial" w:hAnsi="Arial"/>
          <w:sz w:val="24"/>
          <w:szCs w:val="24"/>
        </w:rPr>
        <w:t xml:space="preserve">A clear consent/privacy notice on the form explaining how documents are used, plus a retention policy.</w:t>
      </w:r>
    </w:p>
    <w:p>
      <w:pPr>
        <w:pStyle w:val="ListParagraph"/>
        <w:numPr>
          <w:ilvl w:val="0"/>
          <w:numId w:val="2"/>
        </w:numPr>
        <w:spacing w:after="40"/>
      </w:pPr>
      <w:r>
        <w:rPr>
          <w:rFonts w:ascii="Arial" w:cs="Arial" w:eastAsia="Arial" w:hAnsi="Arial"/>
          <w:sz w:val="24"/>
          <w:szCs w:val="24"/>
        </w:rPr>
        <w:t xml:space="preserve">Verification documents are sensitive personal data under India’s data-protection rules (DPDP) — collect the minimum needed and handle it securely.</w:t>
      </w:r>
    </w:p>
    <w:p>
      <w:pPr>
        <w:pStyle w:val="Heading1"/>
      </w:pPr>
      <w:r>
        <w:t xml:space="preserve">7. Non-Functional Requirements</w:t>
      </w:r>
    </w:p>
    <w:p>
      <w:pPr>
        <w:pStyle w:val="ListParagraph"/>
        <w:numPr>
          <w:ilvl w:val="0"/>
          <w:numId w:val="2"/>
        </w:numPr>
        <w:spacing w:after="40"/>
      </w:pPr>
      <w:r>
        <w:rPr>
          <w:rFonts w:ascii="Arial" w:cs="Arial" w:eastAsia="Arial" w:hAnsi="Arial"/>
          <w:sz w:val="24"/>
          <w:szCs w:val="24"/>
        </w:rPr>
        <w:t xml:space="preserve">Mobile-first, fast, and responsive across the discovery page, profiles, and signup.</w:t>
      </w:r>
    </w:p>
    <w:p>
      <w:pPr>
        <w:pStyle w:val="ListParagraph"/>
        <w:numPr>
          <w:ilvl w:val="0"/>
          <w:numId w:val="2"/>
        </w:numPr>
        <w:spacing w:after="40"/>
      </w:pPr>
      <w:r>
        <w:rPr>
          <w:rFonts w:ascii="Arial" w:cs="Arial" w:eastAsia="Arial" w:hAnsi="Arial"/>
          <w:sz w:val="24"/>
          <w:szCs w:val="24"/>
        </w:rPr>
        <w:t xml:space="preserve">Trust-forward design — verification badges, reviews, and sample content should be prominent.</w:t>
      </w:r>
    </w:p>
    <w:p>
      <w:pPr>
        <w:pStyle w:val="ListParagraph"/>
        <w:numPr>
          <w:ilvl w:val="0"/>
          <w:numId w:val="2"/>
        </w:numPr>
        <w:spacing w:after="40"/>
      </w:pPr>
      <w:r>
        <w:rPr>
          <w:rFonts w:ascii="Arial" w:cs="Arial" w:eastAsia="Arial" w:hAnsi="Arial"/>
          <w:sz w:val="24"/>
          <w:szCs w:val="24"/>
        </w:rPr>
        <w:t xml:space="preserve">Scalable; manual verification at launch, automated checks layered in as volume grows.</w:t>
      </w:r>
    </w:p>
    <w:p>
      <w:pPr>
        <w:pStyle w:val="ListParagraph"/>
        <w:numPr>
          <w:ilvl w:val="0"/>
          <w:numId w:val="2"/>
        </w:numPr>
        <w:spacing w:after="40"/>
      </w:pPr>
      <w:r>
        <w:rPr>
          <w:rFonts w:ascii="Arial" w:cs="Arial" w:eastAsia="Arial" w:hAnsi="Arial"/>
          <w:sz w:val="24"/>
          <w:szCs w:val="24"/>
        </w:rPr>
        <w:t xml:space="preserve">Smooth onboarding (save-and-resume) so professionals actually complete the signup.</w:t>
      </w:r>
    </w:p>
    <w:p>
      <w:pPr>
        <w:pStyle w:val="Heading1"/>
      </w:pPr>
      <w:r>
        <w:t xml:space="preserve">8. Marketplace Strategy Notes (context for the build)</w:t>
      </w:r>
    </w:p>
    <w:p>
      <w:pPr>
        <w:pStyle w:val="ListParagraph"/>
        <w:numPr>
          <w:ilvl w:val="0"/>
          <w:numId w:val="2"/>
        </w:numPr>
        <w:spacing w:after="40"/>
      </w:pPr>
      <w:r>
        <w:rPr>
          <w:rFonts w:ascii="Arial" w:cs="Arial" w:eastAsia="Arial" w:hAnsi="Arial"/>
          <w:sz w:val="24"/>
          <w:szCs w:val="24"/>
        </w:rPr>
        <w:t xml:space="preserve">Two-sided cold-start: seed the speaker side first (hand-recruit a strong initial roster via LinkedIn), then bring colleges.</w:t>
      </w:r>
    </w:p>
    <w:p>
      <w:pPr>
        <w:pStyle w:val="ListParagraph"/>
        <w:numPr>
          <w:ilvl w:val="0"/>
          <w:numId w:val="2"/>
        </w:numPr>
        <w:spacing w:after="40"/>
      </w:pPr>
      <w:r>
        <w:rPr>
          <w:rFonts w:ascii="Arial" w:cs="Arial" w:eastAsia="Arial" w:hAnsi="Arial"/>
          <w:sz w:val="24"/>
          <w:szCs w:val="24"/>
        </w:rPr>
        <w:t xml:space="preserve">Trust is the core value of this marketplace — invest in verification, reviews, and sample talks above all.</w:t>
      </w:r>
    </w:p>
    <w:p>
      <w:pPr>
        <w:pStyle w:val="ListParagraph"/>
        <w:numPr>
          <w:ilvl w:val="0"/>
          <w:numId w:val="2"/>
        </w:numPr>
        <w:spacing w:after="40"/>
      </w:pPr>
      <w:r>
        <w:rPr>
          <w:rFonts w:ascii="Arial" w:cs="Arial" w:eastAsia="Arial" w:hAnsi="Arial"/>
          <w:sz w:val="24"/>
          <w:szCs w:val="24"/>
        </w:rPr>
        <w:t xml:space="preserve">Synergy: speakers often double as mentors (one profile, two services), and colleges are a new user type that also acts as a distribution channel for the student side.</w:t>
      </w:r>
    </w:p>
    <w:p>
      <w:pPr>
        <w:pStyle w:val="Heading1"/>
      </w:pPr>
      <w:r>
        <w:t xml:space="preserve">9. Monetization (open — options to decide)</w:t>
      </w:r>
    </w:p>
    <w:p>
      <w:pPr>
        <w:pStyle w:val="ListParagraph"/>
        <w:numPr>
          <w:ilvl w:val="0"/>
          <w:numId w:val="2"/>
        </w:numPr>
        <w:spacing w:after="40"/>
      </w:pPr>
      <w:r>
        <w:rPr>
          <w:rFonts w:ascii="Arial" w:cs="Arial" w:eastAsia="Arial" w:hAnsi="Arial"/>
          <w:sz w:val="24"/>
          <w:szCs w:val="24"/>
        </w:rPr>
        <w:t xml:space="preserve">Commission on bookings/honorarium.</w:t>
      </w:r>
    </w:p>
    <w:p>
      <w:pPr>
        <w:pStyle w:val="ListParagraph"/>
        <w:numPr>
          <w:ilvl w:val="0"/>
          <w:numId w:val="2"/>
        </w:numPr>
        <w:spacing w:after="40"/>
      </w:pPr>
      <w:r>
        <w:rPr>
          <w:rFonts w:ascii="Arial" w:cs="Arial" w:eastAsia="Arial" w:hAnsi="Arial"/>
          <w:sz w:val="24"/>
          <w:szCs w:val="24"/>
        </w:rPr>
        <w:t xml:space="preserve">Listing or subscription fee for professionals and/or colleges.</w:t>
      </w:r>
    </w:p>
    <w:p>
      <w:pPr>
        <w:pStyle w:val="ListParagraph"/>
        <w:numPr>
          <w:ilvl w:val="0"/>
          <w:numId w:val="2"/>
        </w:numPr>
        <w:spacing w:after="40"/>
      </w:pPr>
      <w:r>
        <w:rPr>
          <w:rFonts w:ascii="Arial" w:cs="Arial" w:eastAsia="Arial" w:hAnsi="Arial"/>
          <w:sz w:val="24"/>
          <w:szCs w:val="24"/>
        </w:rPr>
        <w:t xml:space="preserve">Featured/promoted speaker placements (would add “featured” slots to the discovery page).</w:t>
      </w:r>
    </w:p>
    <w:p>
      <w:pPr>
        <w:pStyle w:val="ListParagraph"/>
        <w:numPr>
          <w:ilvl w:val="0"/>
          <w:numId w:val="2"/>
        </w:numPr>
        <w:spacing w:after="40"/>
      </w:pPr>
      <w:r>
        <w:rPr>
          <w:rFonts w:ascii="Arial" w:cs="Arial" w:eastAsia="Arial" w:hAnsi="Arial"/>
          <w:sz w:val="24"/>
          <w:szCs w:val="24"/>
        </w:rPr>
        <w:t xml:space="preserve">Free at launch to seed the marketplace, monetized later.</w:t>
      </w:r>
    </w:p>
    <w:p>
      <w:pPr>
        <w:spacing w:after="120"/>
      </w:pPr>
      <w:r>
        <w:rPr>
          <w:rFonts w:ascii="Arial" w:cs="Arial" w:eastAsia="Arial" w:hAnsi="Arial"/>
          <w:sz w:val="24"/>
          <w:szCs w:val="24"/>
        </w:rPr>
        <w:t xml:space="preserve">The choice affects the discovery page design (whether “featured” placement appears) and should be settled before that page is finalized.</w:t>
      </w:r>
    </w:p>
    <w:p>
      <w:pPr>
        <w:pStyle w:val="Heading1"/>
      </w:pPr>
      <w:r>
        <w:t xml:space="preserve">10. Acceptance Criteria (testable)</w:t>
      </w:r>
    </w:p>
    <w:p>
      <w:pPr>
        <w:pStyle w:val="ListParagraph"/>
        <w:numPr>
          <w:ilvl w:val="0"/>
          <w:numId w:val="2"/>
        </w:numPr>
        <w:spacing w:after="40"/>
      </w:pPr>
      <w:r>
        <w:rPr>
          <w:rFonts w:ascii="Arial" w:cs="Arial" w:eastAsia="Arial" w:hAnsi="Arial"/>
          <w:sz w:val="24"/>
          <w:szCs w:val="24"/>
        </w:rPr>
        <w:t xml:space="preserve">A professional can self-register, choose services, upload documents, and submit.</w:t>
      </w:r>
    </w:p>
    <w:p>
      <w:pPr>
        <w:pStyle w:val="ListParagraph"/>
        <w:numPr>
          <w:ilvl w:val="0"/>
          <w:numId w:val="2"/>
        </w:numPr>
        <w:spacing w:after="40"/>
      </w:pPr>
      <w:r>
        <w:rPr>
          <w:rFonts w:ascii="Arial" w:cs="Arial" w:eastAsia="Arial" w:hAnsi="Arial"/>
          <w:sz w:val="24"/>
          <w:szCs w:val="24"/>
        </w:rPr>
        <w:t xml:space="preserve">An unverified professional is not listed publicly.</w:t>
      </w:r>
    </w:p>
    <w:p>
      <w:pPr>
        <w:pStyle w:val="ListParagraph"/>
        <w:numPr>
          <w:ilvl w:val="0"/>
          <w:numId w:val="2"/>
        </w:numPr>
        <w:spacing w:after="40"/>
      </w:pPr>
      <w:r>
        <w:rPr>
          <w:rFonts w:ascii="Arial" w:cs="Arial" w:eastAsia="Arial" w:hAnsi="Arial"/>
          <w:sz w:val="24"/>
          <w:szCs w:val="24"/>
        </w:rPr>
        <w:t xml:space="preserve">Admin can approve, reject with a reason, or request more info; approval auto-lists the profile.</w:t>
      </w:r>
    </w:p>
    <w:p>
      <w:pPr>
        <w:pStyle w:val="ListParagraph"/>
        <w:numPr>
          <w:ilvl w:val="0"/>
          <w:numId w:val="2"/>
        </w:numPr>
        <w:spacing w:after="40"/>
      </w:pPr>
      <w:r>
        <w:rPr>
          <w:rFonts w:ascii="Arial" w:cs="Arial" w:eastAsia="Arial" w:hAnsi="Arial"/>
          <w:sz w:val="24"/>
          <w:szCs w:val="24"/>
        </w:rPr>
        <w:t xml:space="preserve">A professional offering both services has one profile with both tabs; the entry point sets the default tab.</w:t>
      </w:r>
    </w:p>
    <w:p>
      <w:pPr>
        <w:pStyle w:val="ListParagraph"/>
        <w:numPr>
          <w:ilvl w:val="0"/>
          <w:numId w:val="2"/>
        </w:numPr>
        <w:spacing w:after="40"/>
      </w:pPr>
      <w:r>
        <w:rPr>
          <w:rFonts w:ascii="Arial" w:cs="Arial" w:eastAsia="Arial" w:hAnsi="Arial"/>
          <w:sz w:val="24"/>
          <w:szCs w:val="24"/>
        </w:rPr>
        <w:t xml:space="preserve">A professional offering only guest lectures has no Mentorship tab.</w:t>
      </w:r>
    </w:p>
    <w:p>
      <w:pPr>
        <w:pStyle w:val="ListParagraph"/>
        <w:numPr>
          <w:ilvl w:val="0"/>
          <w:numId w:val="2"/>
        </w:numPr>
        <w:spacing w:after="40"/>
      </w:pPr>
      <w:r>
        <w:rPr>
          <w:rFonts w:ascii="Arial" w:cs="Arial" w:eastAsia="Arial" w:hAnsi="Arial"/>
          <w:sz w:val="24"/>
          <w:szCs w:val="24"/>
        </w:rPr>
        <w:t xml:space="preserve">A college can browse and filter speakers and open a profile.</w:t>
      </w:r>
    </w:p>
    <w:p>
      <w:pPr>
        <w:pStyle w:val="ListParagraph"/>
        <w:numPr>
          <w:ilvl w:val="0"/>
          <w:numId w:val="2"/>
        </w:numPr>
        <w:spacing w:after="40"/>
      </w:pPr>
      <w:r>
        <w:rPr>
          <w:rFonts w:ascii="Arial" w:cs="Arial" w:eastAsia="Arial" w:hAnsi="Arial"/>
          <w:sz w:val="24"/>
          <w:szCs w:val="24"/>
        </w:rPr>
        <w:t xml:space="preserve">A college can send an invite/request with all required fields; the speaker can accept or decline.</w:t>
      </w:r>
    </w:p>
    <w:p>
      <w:pPr>
        <w:pStyle w:val="ListParagraph"/>
        <w:numPr>
          <w:ilvl w:val="0"/>
          <w:numId w:val="2"/>
        </w:numPr>
        <w:spacing w:after="40"/>
      </w:pPr>
      <w:r>
        <w:rPr>
          <w:rFonts w:ascii="Arial" w:cs="Arial" w:eastAsia="Arial" w:hAnsi="Arial"/>
          <w:sz w:val="24"/>
          <w:szCs w:val="24"/>
        </w:rPr>
        <w:t xml:space="preserve">A college can post a need, which is fulfilled per the chosen model.</w:t>
      </w:r>
    </w:p>
    <w:p>
      <w:pPr>
        <w:pStyle w:val="ListParagraph"/>
        <w:numPr>
          <w:ilvl w:val="0"/>
          <w:numId w:val="2"/>
        </w:numPr>
        <w:spacing w:after="40"/>
      </w:pPr>
      <w:r>
        <w:rPr>
          <w:rFonts w:ascii="Arial" w:cs="Arial" w:eastAsia="Arial" w:hAnsi="Arial"/>
          <w:sz w:val="24"/>
          <w:szCs w:val="24"/>
        </w:rPr>
        <w:t xml:space="preserve">Verification documents are not publicly accessible.</w:t>
      </w:r>
    </w:p>
    <w:p>
      <w:pPr>
        <w:pStyle w:val="ListParagraph"/>
        <w:numPr>
          <w:ilvl w:val="0"/>
          <w:numId w:val="2"/>
        </w:numPr>
        <w:spacing w:after="40"/>
      </w:pPr>
      <w:r>
        <w:rPr>
          <w:rFonts w:ascii="Arial" w:cs="Arial" w:eastAsia="Arial" w:hAnsi="Arial"/>
          <w:sz w:val="24"/>
          <w:szCs w:val="24"/>
        </w:rPr>
        <w:t xml:space="preserve">The discovery page, profile, and signup are comfortably usable on a mid-range mobile phone.</w:t>
      </w:r>
    </w:p>
    <w:p>
      <w:pPr>
        <w:pStyle w:val="Heading1"/>
      </w:pPr>
      <w:r>
        <w:t xml:space="preserve">11. Open Decisions</w:t>
      </w:r>
    </w:p>
    <w:p>
      <w:pPr>
        <w:pStyle w:val="ListParagraph"/>
        <w:numPr>
          <w:ilvl w:val="0"/>
          <w:numId w:val="4"/>
        </w:numPr>
        <w:spacing w:after="40"/>
      </w:pPr>
      <w:r>
        <w:rPr>
          <w:rFonts w:ascii="Arial" w:cs="Arial" w:eastAsia="Arial" w:hAnsi="Arial"/>
          <w:sz w:val="24"/>
          <w:szCs w:val="24"/>
        </w:rPr>
        <w:t xml:space="preserve">Monetization model — and whether “featured” placement appears on the discovery page.</w:t>
      </w:r>
    </w:p>
    <w:p>
      <w:pPr>
        <w:pStyle w:val="ListParagraph"/>
        <w:numPr>
          <w:ilvl w:val="0"/>
          <w:numId w:val="4"/>
        </w:numPr>
        <w:spacing w:after="40"/>
      </w:pPr>
      <w:r>
        <w:rPr>
          <w:rFonts w:ascii="Arial" w:cs="Arial" w:eastAsia="Arial" w:hAnsi="Arial"/>
          <w:sz w:val="24"/>
          <w:szCs w:val="24"/>
        </w:rPr>
        <w:t xml:space="preserve">“Register your needs” fulfillment — admin matchmaking vs broadcasting to speakers.</w:t>
      </w:r>
    </w:p>
    <w:p>
      <w:pPr>
        <w:pStyle w:val="ListParagraph"/>
        <w:numPr>
          <w:ilvl w:val="0"/>
          <w:numId w:val="4"/>
        </w:numPr>
        <w:spacing w:after="40"/>
      </w:pPr>
      <w:r>
        <w:rPr>
          <w:rFonts w:ascii="Arial" w:cs="Arial" w:eastAsia="Arial" w:hAnsi="Arial"/>
          <w:sz w:val="24"/>
          <w:szCs w:val="24"/>
        </w:rPr>
        <w:t xml:space="preserve">Whether and how to verify colleges/institutions.</w:t>
      </w:r>
    </w:p>
    <w:p>
      <w:pPr>
        <w:pStyle w:val="ListParagraph"/>
        <w:numPr>
          <w:ilvl w:val="0"/>
          <w:numId w:val="4"/>
        </w:numPr>
        <w:spacing w:after="40"/>
      </w:pPr>
      <w:r>
        <w:rPr>
          <w:rFonts w:ascii="Arial" w:cs="Arial" w:eastAsia="Arial" w:hAnsi="Arial"/>
          <w:sz w:val="24"/>
          <w:szCs w:val="24"/>
        </w:rPr>
        <w:t xml:space="preserve">Whether honorarium is handled in-platform (payments) or arranged off-platform.</w:t>
      </w:r>
    </w:p>
    <w:p>
      <w:pPr>
        <w:pStyle w:val="ListParagraph"/>
        <w:numPr>
          <w:ilvl w:val="0"/>
          <w:numId w:val="4"/>
        </w:numPr>
        <w:spacing w:after="40"/>
      </w:pPr>
      <w:r>
        <w:rPr>
          <w:rFonts w:ascii="Arial" w:cs="Arial" w:eastAsia="Arial" w:hAnsi="Arial"/>
          <w:sz w:val="24"/>
          <w:szCs w:val="24"/>
        </w:rPr>
        <w:t xml:space="preserve">Whether college–speaker communication happens in-platform or via shared contact details.</w:t>
      </w:r>
    </w:p>
    <w:p>
      <w:pPr>
        <w:pStyle w:val="ListParagraph"/>
        <w:numPr>
          <w:ilvl w:val="0"/>
          <w:numId w:val="4"/>
        </w:numPr>
        <w:spacing w:after="40"/>
      </w:pPr>
      <w:r>
        <w:rPr>
          <w:rFonts w:ascii="Arial" w:cs="Arial" w:eastAsia="Arial" w:hAnsi="Arial"/>
          <w:sz w:val="24"/>
          <w:szCs w:val="24"/>
        </w:rPr>
        <w:t xml:space="preserve">How much of mentorship to surface within this build versus the separate mentorship spec.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5AAC"/>
      <w:sz w:val="28"/>
      <w:szCs w:val="28"/>
    </w:rPr>
  </w:style>
  <w:style w:type="paragraph" w:styleId="Heading2">
    <w:name w:val="Heading 2"/>
    <w:basedOn w:val="Normal"/>
    <w:next w:val="Normal"/>
    <w:qFormat/>
    <w:pPr>
      <w:spacing w:after="6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2026-06-13T02:21:33.450Z</dcterms:created>
  <dcterms:modified xsi:type="dcterms:W3CDTF">2026-06-13T02:21:33.451Z</dcterms:modified>
</cp:coreProperties>
</file>

<file path=docProps/custom.xml><?xml version="1.0" encoding="utf-8"?>
<Properties xmlns="http://schemas.openxmlformats.org/officeDocument/2006/custom-properties" xmlns:vt="http://schemas.openxmlformats.org/officeDocument/2006/docPropsVTypes"/>
</file>