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Feature Requirements Document</w:t>
      </w:r>
    </w:p>
    <w:p>
      <w:pPr>
        <w:pBdr>
          <w:bottom w:val="single" w:color="2E5AAC" w:sz="8" w:space="6"/>
        </w:pBdr>
        <w:spacing w:after="160"/>
      </w:pPr>
      <w:r>
        <w:rPr>
          <w:rFonts w:ascii="Arial" w:cs="Arial" w:eastAsia="Arial" w:hAnsi="Arial"/>
          <w:color w:val="2E5AAC"/>
          <w:sz w:val="30"/>
          <w:szCs w:val="30"/>
        </w:rPr>
        <w:t xml:space="preserve">Mentorship — End-to-End Journey Page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Part of: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LogicalMBA (platform working title)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Narenther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(Draft for review)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Mentorship page presents the platform’s flagship offering: end-to-end mentorship that supports a student across the entire MBA journey — from choosing the right college through to landing a final placement. It is the company’s most important selling point and primary differentiator.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page is dedicated to the comprehensive, ongoing journey. Individual, capped à la carte services (for example, a pack of 5 mock interviews or support for 5 case competitions) live on a separate Prep &amp; Coaching page and funnel into this one. On this page a student can also discover mentors through a carousel, or describe their need and be matched with a mentor.</w:t>
      </w:r>
    </w:p>
    <w:p>
      <w:pPr>
        <w:pStyle w:val="Heading1"/>
      </w:pPr>
      <w:r>
        <w:t xml:space="preserve">2. Goals and Non-Goals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Sell the end-to-end mentorship journey as a single, compelling story rather than a list of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 a student quickly identify where they are in the journey and see the support that applies.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 a student either browse mentors (carousel) or submit their need and be matched with a mentor.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Convert through outcomes (success stories) and a low-friction intro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Funnel to and from the separate individual-services (Prep &amp; Coaching) page.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Non-goals (for now)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Selling individual capped service packs here — those live on the separate Prep &amp; Coaching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Final pricing and packaging (open — see Section 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Duplicating the case-competition or mock-interview features — this page links to them rather than rebuilding them.</w:t>
      </w:r>
    </w:p>
    <w:p>
      <w:pPr>
        <w:pStyle w:val="Heading1"/>
      </w:pPr>
      <w:r>
        <w:t xml:space="preserve">3. Users and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 — </w:t>
      </w:r>
      <w:r>
        <w:rPr>
          <w:rFonts w:ascii="Arial" w:cs="Arial" w:eastAsia="Arial" w:hAnsi="Arial"/>
          <w:sz w:val="24"/>
          <w:szCs w:val="24"/>
        </w:rPr>
        <w:t xml:space="preserve">primary user, at one of three stages: aspirant, first-year, or final-year.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Mentor — </w:t>
      </w:r>
      <w:r>
        <w:rPr>
          <w:rFonts w:ascii="Arial" w:cs="Arial" w:eastAsia="Arial" w:hAnsi="Arial"/>
          <w:sz w:val="24"/>
          <w:szCs w:val="24"/>
        </w:rPr>
        <w:t xml:space="preserve">delivers the guidance via the shared unified professional profile (Mentorship tab); typically seniors and recent alumni, with industry professionals as a premium tier.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— </w:t>
      </w:r>
      <w:r>
        <w:rPr>
          <w:rFonts w:ascii="Arial" w:cs="Arial" w:eastAsia="Arial" w:hAnsi="Arial"/>
          <w:sz w:val="24"/>
          <w:szCs w:val="24"/>
        </w:rPr>
        <w:t xml:space="preserve">manages mentor–student matching (if manual), mentors, content, and success stories.</w:t>
      </w:r>
    </w:p>
    <w:p>
      <w:pPr>
        <w:pStyle w:val="Heading1"/>
      </w:pPr>
      <w:r>
        <w:t xml:space="preserve">4. Key Concepts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journey, not a menu. </w:t>
      </w:r>
      <w:r>
        <w:rPr>
          <w:rFonts w:ascii="Arial" w:cs="Arial" w:eastAsia="Arial" w:hAnsi="Arial"/>
          <w:sz w:val="24"/>
          <w:szCs w:val="24"/>
        </w:rPr>
        <w:t xml:space="preserve">The page is organized as a single end-to-end story (“we’re with you from your CAT result to your final offer”), not as a catalog of separate services. The story is the differentiator.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Sell the journey, design for stage entry. </w:t>
      </w:r>
      <w:r>
        <w:rPr>
          <w:rFonts w:ascii="Arial" w:cs="Arial" w:eastAsia="Arial" w:hAnsi="Arial"/>
          <w:sz w:val="24"/>
          <w:szCs w:val="24"/>
        </w:rPr>
        <w:t xml:space="preserve">End-to-end is a multi-year promise, and few students commit to all of it upfront. The journey is the narrative; the page must still let a student enter at their current stage and engage from there.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Separate from individual services, but funnels with them. </w:t>
      </w:r>
      <w:r>
        <w:rPr>
          <w:rFonts w:ascii="Arial" w:cs="Arial" w:eastAsia="Arial" w:hAnsi="Arial"/>
          <w:sz w:val="24"/>
          <w:szCs w:val="24"/>
        </w:rPr>
        <w:t xml:space="preserve">This page is the comprehensive, ongoing offering. The capped à la carte packs live on a separate page. They form a product ladder: cheap single services are the entry point, the journey is the premium upsell, and each links to the other.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Same mentors, bundled vs unbundled. </w:t>
      </w:r>
      <w:r>
        <w:rPr>
          <w:rFonts w:ascii="Arial" w:cs="Arial" w:eastAsia="Arial" w:hAnsi="Arial"/>
          <w:sz w:val="24"/>
          <w:szCs w:val="24"/>
        </w:rPr>
        <w:t xml:space="preserve">A mentorship session sold standalone and the same session inside the journey are delivered by the same mentor; only the packaging and price differ.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Outcomes sell mentorship. </w:t>
      </w:r>
      <w:r>
        <w:rPr>
          <w:rFonts w:ascii="Arial" w:cs="Arial" w:eastAsia="Arial" w:hAnsi="Arial"/>
          <w:sz w:val="24"/>
          <w:szCs w:val="24"/>
        </w:rPr>
        <w:t xml:space="preserve">The primary conversion driver is proof of results — success stories tied to each stage.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Mentorship is the connective layer. </w:t>
      </w:r>
      <w:r>
        <w:rPr>
          <w:rFonts w:ascii="Arial" w:cs="Arial" w:eastAsia="Arial" w:hAnsi="Arial"/>
          <w:sz w:val="24"/>
          <w:szCs w:val="24"/>
        </w:rPr>
        <w:t xml:space="preserve">It threads through the platform’s other services (case competitions, mock interviews, playbooks); the page links into them rather than duplicating them.</w:t>
      </w:r>
    </w:p>
    <w:p>
      <w:pPr>
        <w:pStyle w:val="Heading1"/>
      </w:pPr>
      <w:r>
        <w:t xml:space="preserve">5. The Mentorship Journey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journey is presented as five phases, which map the seven services discussed: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into the right college — </w:t>
      </w:r>
      <w:r>
        <w:rPr>
          <w:rFonts w:ascii="Arial" w:cs="Arial" w:eastAsia="Arial" w:hAnsi="Arial"/>
          <w:sz w:val="24"/>
          <w:szCs w:val="24"/>
        </w:rPr>
        <w:t xml:space="preserve">college selection guided by CAT score, student preferences, career goals, and ROI; plus admission prep including resume building, WAT, SOP, and interview practice/mocks.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Start strong — </w:t>
      </w:r>
      <w:r>
        <w:rPr>
          <w:rFonts w:ascii="Arial" w:cs="Arial" w:eastAsia="Arial" w:hAnsi="Arial"/>
          <w:sz w:val="24"/>
          <w:szCs w:val="24"/>
        </w:rPr>
        <w:t xml:space="preserve">choosing the right clubs and chapters to join in the first year.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 your summers — </w:t>
      </w:r>
      <w:r>
        <w:rPr>
          <w:rFonts w:ascii="Arial" w:cs="Arial" w:eastAsia="Arial" w:hAnsi="Arial"/>
          <w:sz w:val="24"/>
          <w:szCs w:val="24"/>
        </w:rPr>
        <w:t xml:space="preserve">resume and screening prep, mock interviews, choosing the right companies, and converting the summer internship into a PPO.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 case competitions — </w:t>
      </w:r>
      <w:r>
        <w:rPr>
          <w:rFonts w:ascii="Arial" w:cs="Arial" w:eastAsia="Arial" w:hAnsi="Arial"/>
          <w:sz w:val="24"/>
          <w:szCs w:val="24"/>
        </w:rPr>
        <w:t xml:space="preserve">professional, stage-by-stage guidance through case competitions, aimed at winning and at PPO conversion.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Land your final placement — </w:t>
      </w:r>
      <w:r>
        <w:rPr>
          <w:rFonts w:ascii="Arial" w:cs="Arial" w:eastAsia="Arial" w:hAnsi="Arial"/>
          <w:sz w:val="24"/>
          <w:szCs w:val="24"/>
        </w:rPr>
        <w:t xml:space="preserve">final-placement mock interviews and prep, plus ongoing placement support.</w:t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Hero &amp; primary CTA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clear end-to-end promise headline and subhead.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primary, low-friction CTA (e.g., “Book a free intro call” / “Start your journey”).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trust cue (headline outcomes or numbers).</w:t>
      </w:r>
    </w:p>
    <w:p>
      <w:pPr>
        <w:pStyle w:val="Heading2"/>
      </w:pPr>
      <w:r>
        <w:t xml:space="preserve">6.2 Journey timeline (centerpiece)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visual timeline of the five phases, communicating support at every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Each phase is clickable to expand or jump to its detail section.</w:t>
      </w:r>
    </w:p>
    <w:p>
      <w:pPr>
        <w:pStyle w:val="Heading2"/>
      </w:pPr>
      <w:r>
        <w:t xml:space="preserve">6.3 “Where are you right now?” selector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student picks their current stage (aspirant / first year / final year).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page surfaces the relevant phase, services, mentors, and CTA — reducing overwhelm.</w:t>
      </w:r>
    </w:p>
    <w:p>
      <w:pPr>
        <w:pStyle w:val="Heading2"/>
      </w:pPr>
      <w:r>
        <w:t xml:space="preserve">6.4 Per-phase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 each phase: what is included, the outcome it drives, and the mentors who handle it.</w:t>
      </w:r>
    </w:p>
    <w:p>
      <w:pPr>
        <w:pStyle w:val="Heading2"/>
      </w:pPr>
      <w:r>
        <w:t xml:space="preserve">6.5 Mentor carousel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browsable carousel of featured mentors: photo, name, role + company, expertise / stage focus, rating, and a link to the unified profile (Mentorship tab).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Segmented or filterable by phase where possible (e.g., admissions mentors vs placement mentors).</w:t>
      </w:r>
    </w:p>
    <w:p>
      <w:pPr>
        <w:pStyle w:val="Heading2"/>
      </w:pPr>
      <w:r>
        <w:t xml:space="preserve">6.6 “Get matched with a mentor”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form where the student describes their need: current stage, goal, stream, specific ask, and any preferences.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 submit, the platform matches and assigns a suitable mentor.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Matching may be manual (admin) or algorithmic — open decision (Section 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student is notified of their match and can proceed to book.</w:t>
      </w:r>
    </w:p>
    <w:p>
      <w:pPr>
        <w:pStyle w:val="Heading2"/>
      </w:pPr>
      <w:r>
        <w:t xml:space="preserve">6.7 Mentor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Opening a mentor uses the shared unified professional profile, defaulting to the Mentorship tab.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Carries a B2C “Book a session” CTA and the relevant pricing.</w:t>
      </w:r>
    </w:p>
    <w:p>
      <w:pPr>
        <w:pStyle w:val="Heading2"/>
      </w:pPr>
      <w:r>
        <w:t xml:space="preserve">6.8 Success stories / outcomes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Outcome proof tied to phases (“got into [college],” “converted a PPO at [company],” “won [competition]”).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Positioned as the page’s main conversion driver.</w:t>
      </w:r>
    </w:p>
    <w:p>
      <w:pPr>
        <w:pStyle w:val="Heading2"/>
      </w:pPr>
      <w:r>
        <w:t xml:space="preserve">6.9 Pricing &amp; packaging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Presents the journey offering and its price; the model is to be decided (Section 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Shows the relationship to the individual capped packs.</w:t>
      </w:r>
    </w:p>
    <w:p>
      <w:pPr>
        <w:pStyle w:val="Heading2"/>
      </w:pPr>
      <w:r>
        <w:t xml:space="preserve">6.10 Cross-sell to individual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 “or start with a single service” link to the Prep &amp; Coaching page; those pages in turn nudge up to the journey.</w:t>
      </w:r>
    </w:p>
    <w:p>
      <w:pPr>
        <w:pStyle w:val="Heading2"/>
      </w:pPr>
      <w:r>
        <w:t xml:space="preserve">6.11 Booking / intro-call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low-friction entry (free intro call or consultation) leading into enrollment/booking.</w:t>
      </w:r>
    </w:p>
    <w:p>
      <w:pPr>
        <w:pStyle w:val="Heading2"/>
      </w:pPr>
      <w:r>
        <w:t xml:space="preserve">6.12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Match results, mentor assignment, and session reminders via in-app, email, and recommended WhatsApp/SMS.</w:t>
      </w:r>
    </w:p>
    <w:p>
      <w:pPr>
        <w:pStyle w:val="Heading1"/>
      </w:pPr>
      <w:r>
        <w:t xml:space="preserve">7. Relationship to Other Parts of the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services (Prep &amp; Coaching) page — </w:t>
      </w:r>
      <w:r>
        <w:rPr>
          <w:rFonts w:ascii="Arial" w:cs="Arial" w:eastAsia="Arial" w:hAnsi="Arial"/>
          <w:sz w:val="24"/>
          <w:szCs w:val="24"/>
        </w:rPr>
        <w:t xml:space="preserve">separate, capped packs (e.g., 5 mock interviews, support for 5 case comps); funnels both ways with this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competitions feature — </w:t>
      </w:r>
      <w:r>
        <w:rPr>
          <w:rFonts w:ascii="Arial" w:cs="Arial" w:eastAsia="Arial" w:hAnsi="Arial"/>
          <w:sz w:val="24"/>
          <w:szCs w:val="24"/>
        </w:rPr>
        <w:t xml:space="preserve">Phase 4 links to it rather than duplicating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Mock interviews — </w:t>
      </w:r>
      <w:r>
        <w:rPr>
          <w:rFonts w:ascii="Arial" w:cs="Arial" w:eastAsia="Arial" w:hAnsi="Arial"/>
          <w:sz w:val="24"/>
          <w:szCs w:val="24"/>
        </w:rPr>
        <w:t xml:space="preserve">used across Phases 1, 3, and 5; links to the mock-interview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Playbooks — </w:t>
      </w:r>
      <w:r>
        <w:rPr>
          <w:rFonts w:ascii="Arial" w:cs="Arial" w:eastAsia="Arial" w:hAnsi="Arial"/>
          <w:sz w:val="24"/>
          <w:szCs w:val="24"/>
        </w:rPr>
        <w:t xml:space="preserve">stream-specific guidance that complements mentorship.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Unified mentor profiles — </w:t>
      </w:r>
      <w:r>
        <w:rPr>
          <w:rFonts w:ascii="Arial" w:cs="Arial" w:eastAsia="Arial" w:hAnsi="Arial"/>
          <w:sz w:val="24"/>
          <w:szCs w:val="24"/>
        </w:rPr>
        <w:t xml:space="preserve">shared with the guest-lecture service; one profile, multiple services.</w:t>
      </w:r>
    </w:p>
    <w:p>
      <w:pPr>
        <w:pStyle w:val="Heading1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Mobile-first, fast, and responsive.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Trust-forward: success stories, verification badges, and ratings should be prominent.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journey timeline and stage selector must stay clear and not overwhelming.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Matching and delivery should scale as volume grows.</w:t>
      </w:r>
    </w:p>
    <w:p>
      <w:pPr>
        <w:pStyle w:val="Heading1"/>
      </w:pPr>
      <w:r>
        <w:t xml:space="preserve">9. Strategy Notes (context for the build)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This is the flagship and the moat — the company’s most important selling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Sell the journey as the story, but let students enter at any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Outcomes are the primary conversion lever — invest in real success stories.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Mentorship is the connective layer threading through the rest of the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 journey is “unlimited,” watch mentor cost and capacity; consider generous-but-bounded with fair-use instead of literally infinite.</w:t>
      </w:r>
    </w:p>
    <w:p>
      <w:pPr>
        <w:pStyle w:val="Heading1"/>
      </w:pPr>
      <w:r>
        <w:t xml:space="preserve">10. Acceptance Criteria (testable)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page presents the full five-phase journey clearly.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student can self-select their stage and see the relevant phase content, services, and mentors.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student can browse mentors via the carousel and open a mentor’s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student can submit a need and receive a matched mentor.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Each phase shows what is included, its outcome, and its mentors.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Success stories are displayed and tied to phases.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page links to the individual-services page and to related features (case comps, mocks).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page is comfortably usable on a mid-range mobile phone.</w:t>
      </w:r>
    </w:p>
    <w:p>
      <w:pPr>
        <w:pStyle w:val="Heading1"/>
      </w:pPr>
      <w:r>
        <w:t xml:space="preserve">11. Open Decisions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Pricing and packaging model for the journey (subscription, phase bundles, etc.) — still to be decided.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Whether the journey is truly unlimited or a generous-but-bounded allocation (cost/capacity).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Mentor-matching logic for “get matched” — manual (admin) vs algorithmic.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exactly each phase includes (scope and allocations per phase).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the journey is priced relative to the individual capped packs.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mentor types are assigned to which phases.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2026-06-13T02:54:51.564Z</dcterms:created>
  <dcterms:modified xsi:type="dcterms:W3CDTF">2026-06-13T02:54:51.565Z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