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11B5025F" w:rsidR="00862194" w:rsidRPr="00B75CB2" w:rsidRDefault="00DE49AE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Monitoring and Controlling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5EEFE4" w14:textId="77777777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9AE" w:rsidRPr="00DE49AE" w14:paraId="38FD30AD" w14:textId="77777777" w:rsidTr="00F168F5">
        <w:tc>
          <w:tcPr>
            <w:tcW w:w="3116" w:type="dxa"/>
          </w:tcPr>
          <w:p w14:paraId="2F25CEFA" w14:textId="77777777" w:rsidR="00DE49AE" w:rsidRPr="00236333" w:rsidRDefault="00DE49AE" w:rsidP="0083265D">
            <w:pPr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236333">
              <w:rPr>
                <w:rFonts w:ascii="Verdana" w:hAnsi="Verdana"/>
                <w:bCs/>
                <w:sz w:val="36"/>
                <w:szCs w:val="36"/>
              </w:rPr>
              <w:t>Project Title</w:t>
            </w:r>
          </w:p>
        </w:tc>
        <w:tc>
          <w:tcPr>
            <w:tcW w:w="3117" w:type="dxa"/>
          </w:tcPr>
          <w:p w14:paraId="5882274C" w14:textId="77777777" w:rsidR="00DE49AE" w:rsidRPr="00236333" w:rsidRDefault="00DE49AE" w:rsidP="0083265D">
            <w:pPr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236333">
              <w:rPr>
                <w:rFonts w:ascii="Verdana" w:hAnsi="Verdana"/>
                <w:bCs/>
                <w:sz w:val="36"/>
                <w:szCs w:val="36"/>
              </w:rPr>
              <w:t>Project Manager</w:t>
            </w:r>
          </w:p>
        </w:tc>
        <w:tc>
          <w:tcPr>
            <w:tcW w:w="3117" w:type="dxa"/>
          </w:tcPr>
          <w:p w14:paraId="142A61F8" w14:textId="77777777" w:rsidR="00DE49AE" w:rsidRPr="00236333" w:rsidRDefault="00DE49AE" w:rsidP="0083265D">
            <w:pPr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236333">
              <w:rPr>
                <w:rFonts w:ascii="Verdana" w:hAnsi="Verdana"/>
                <w:bCs/>
                <w:sz w:val="36"/>
                <w:szCs w:val="36"/>
              </w:rPr>
              <w:t>Customer Name</w:t>
            </w:r>
          </w:p>
        </w:tc>
      </w:tr>
      <w:tr w:rsidR="00DE49AE" w:rsidRPr="00DE49AE" w14:paraId="0E43DF92" w14:textId="77777777" w:rsidTr="00F168F5">
        <w:tc>
          <w:tcPr>
            <w:tcW w:w="3116" w:type="dxa"/>
          </w:tcPr>
          <w:p w14:paraId="313E3941" w14:textId="0156294F" w:rsidR="00DE49AE" w:rsidRPr="00236333" w:rsidRDefault="00123118" w:rsidP="0083265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236333">
              <w:rPr>
                <w:rFonts w:ascii="Verdana" w:hAnsi="Verdana"/>
                <w:b/>
                <w:sz w:val="36"/>
                <w:szCs w:val="36"/>
              </w:rPr>
              <w:t>MGT2_KKM1</w:t>
            </w:r>
            <w:r w:rsidR="006226BE" w:rsidRPr="00236333">
              <w:rPr>
                <w:rFonts w:ascii="Verdana" w:hAnsi="Verdana"/>
                <w:b/>
                <w:sz w:val="36"/>
                <w:szCs w:val="36"/>
              </w:rPr>
              <w:t>: Monitoring &amp; Controlling Task 3</w:t>
            </w:r>
          </w:p>
        </w:tc>
        <w:tc>
          <w:tcPr>
            <w:tcW w:w="3117" w:type="dxa"/>
          </w:tcPr>
          <w:p w14:paraId="3B273C45" w14:textId="37B1263C" w:rsidR="00DE49AE" w:rsidRPr="00236333" w:rsidRDefault="00764944" w:rsidP="0083265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236333">
              <w:rPr>
                <w:rFonts w:ascii="Verdana" w:hAnsi="Verdana"/>
                <w:b/>
                <w:sz w:val="36"/>
                <w:szCs w:val="36"/>
              </w:rPr>
              <w:t>Joette Damo</w:t>
            </w:r>
          </w:p>
        </w:tc>
        <w:tc>
          <w:tcPr>
            <w:tcW w:w="3117" w:type="dxa"/>
          </w:tcPr>
          <w:p w14:paraId="6B3FEBBF" w14:textId="77522D39" w:rsidR="00DE49AE" w:rsidRPr="00236333" w:rsidRDefault="001E0A08" w:rsidP="0083265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proofErr w:type="spellStart"/>
            <w:r w:rsidRPr="00236333">
              <w:rPr>
                <w:rFonts w:ascii="Verdana" w:hAnsi="Verdana"/>
                <w:b/>
                <w:sz w:val="36"/>
                <w:szCs w:val="36"/>
              </w:rPr>
              <w:t>Synesthor</w:t>
            </w:r>
            <w:proofErr w:type="spellEnd"/>
            <w:r w:rsidRPr="00236333">
              <w:rPr>
                <w:rFonts w:ascii="Verdana" w:hAnsi="Verdana"/>
                <w:b/>
                <w:sz w:val="36"/>
                <w:szCs w:val="36"/>
              </w:rPr>
              <w:t xml:space="preserve"> Cloud Storage Migration Project</w:t>
            </w:r>
          </w:p>
        </w:tc>
      </w:tr>
    </w:tbl>
    <w:p w14:paraId="5CE4AE24" w14:textId="559CC45C" w:rsidR="00DE49AE" w:rsidRDefault="00DE49AE" w:rsidP="0083265D">
      <w:pPr>
        <w:spacing w:after="0"/>
        <w:rPr>
          <w:rFonts w:ascii="Verdana" w:hAnsi="Verdana"/>
          <w:sz w:val="20"/>
          <w:szCs w:val="20"/>
        </w:rPr>
      </w:pPr>
    </w:p>
    <w:p w14:paraId="7A25F2AE" w14:textId="2390CD00" w:rsidR="004A6E18" w:rsidRDefault="004A6E18" w:rsidP="0083265D">
      <w:pPr>
        <w:spacing w:after="0"/>
        <w:rPr>
          <w:rFonts w:ascii="Verdana" w:hAnsi="Verdana"/>
          <w:sz w:val="20"/>
          <w:szCs w:val="20"/>
        </w:rPr>
      </w:pPr>
    </w:p>
    <w:p w14:paraId="05153CE4" w14:textId="48448384" w:rsidR="00AD4B15" w:rsidRDefault="00AD4B15" w:rsidP="0083265D">
      <w:pPr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Synesthor</w:t>
      </w:r>
      <w:proofErr w:type="spellEnd"/>
      <w:r>
        <w:rPr>
          <w:rFonts w:ascii="Verdana" w:hAnsi="Verdana"/>
          <w:sz w:val="20"/>
          <w:szCs w:val="20"/>
        </w:rPr>
        <w:t xml:space="preserve"> Cloud Storage Migration Project in which </w:t>
      </w:r>
      <w:proofErr w:type="spellStart"/>
      <w:r>
        <w:rPr>
          <w:rFonts w:ascii="Verdana" w:hAnsi="Verdana"/>
          <w:sz w:val="20"/>
          <w:szCs w:val="20"/>
        </w:rPr>
        <w:t>Synesthor</w:t>
      </w:r>
      <w:proofErr w:type="spellEnd"/>
      <w:r w:rsidR="00E314B6">
        <w:rPr>
          <w:rFonts w:ascii="Verdana" w:hAnsi="Verdana"/>
          <w:sz w:val="20"/>
          <w:szCs w:val="20"/>
        </w:rPr>
        <w:t xml:space="preserve"> a major accounting firm implies at this the project scope will include</w:t>
      </w:r>
      <w:r w:rsidR="0085461F">
        <w:rPr>
          <w:rFonts w:ascii="Verdana" w:hAnsi="Verdana"/>
          <w:sz w:val="20"/>
          <w:szCs w:val="20"/>
        </w:rPr>
        <w:t xml:space="preserve"> only moving current databases.  </w:t>
      </w:r>
    </w:p>
    <w:p w14:paraId="07763A5F" w14:textId="5DA9F2B3" w:rsidR="00396718" w:rsidRDefault="00396718" w:rsidP="0083265D">
      <w:pPr>
        <w:spacing w:after="0"/>
        <w:rPr>
          <w:rFonts w:ascii="Verdana" w:hAnsi="Verdana"/>
          <w:sz w:val="20"/>
          <w:szCs w:val="20"/>
        </w:rPr>
      </w:pPr>
    </w:p>
    <w:p w14:paraId="5BD0B2F7" w14:textId="700242FE" w:rsidR="00396718" w:rsidRDefault="00396718" w:rsidP="0083265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project involves five teams which are the following:</w:t>
      </w:r>
      <w:r w:rsidR="00462700">
        <w:rPr>
          <w:rFonts w:ascii="Verdana" w:hAnsi="Verdana"/>
          <w:sz w:val="20"/>
          <w:szCs w:val="20"/>
        </w:rPr>
        <w:t xml:space="preserve"> 1) Premigration Planning</w:t>
      </w:r>
      <w:r w:rsidR="00BB71B8">
        <w:rPr>
          <w:rFonts w:ascii="Verdana" w:hAnsi="Verdana"/>
          <w:sz w:val="20"/>
          <w:szCs w:val="20"/>
        </w:rPr>
        <w:t>, Sara Patel</w:t>
      </w:r>
      <w:r w:rsidR="00462700">
        <w:rPr>
          <w:rFonts w:ascii="Verdana" w:hAnsi="Verdana"/>
          <w:sz w:val="20"/>
          <w:szCs w:val="20"/>
        </w:rPr>
        <w:t>, 2) Storage</w:t>
      </w:r>
      <w:r w:rsidR="00BB71B8">
        <w:rPr>
          <w:rFonts w:ascii="Verdana" w:hAnsi="Verdana"/>
          <w:sz w:val="20"/>
          <w:szCs w:val="20"/>
        </w:rPr>
        <w:t>, Sophia Miller</w:t>
      </w:r>
      <w:r w:rsidR="00462700">
        <w:rPr>
          <w:rFonts w:ascii="Verdana" w:hAnsi="Verdana"/>
          <w:sz w:val="20"/>
          <w:szCs w:val="20"/>
        </w:rPr>
        <w:t>, 3) off-site</w:t>
      </w:r>
      <w:r w:rsidR="0006755D">
        <w:rPr>
          <w:rFonts w:ascii="Verdana" w:hAnsi="Verdana"/>
          <w:sz w:val="20"/>
          <w:szCs w:val="20"/>
        </w:rPr>
        <w:t xml:space="preserve"> cloud system</w:t>
      </w:r>
      <w:r w:rsidR="00BB71B8">
        <w:rPr>
          <w:rFonts w:ascii="Verdana" w:hAnsi="Verdana"/>
          <w:sz w:val="20"/>
          <w:szCs w:val="20"/>
        </w:rPr>
        <w:t xml:space="preserve">, </w:t>
      </w:r>
      <w:r w:rsidR="00CD12C3">
        <w:rPr>
          <w:rFonts w:ascii="Verdana" w:hAnsi="Verdana"/>
          <w:sz w:val="20"/>
          <w:szCs w:val="20"/>
        </w:rPr>
        <w:t>Daniel Johnson</w:t>
      </w:r>
      <w:r w:rsidR="0006755D">
        <w:rPr>
          <w:rFonts w:ascii="Verdana" w:hAnsi="Verdana"/>
          <w:sz w:val="20"/>
          <w:szCs w:val="20"/>
        </w:rPr>
        <w:t>, 4) testing</w:t>
      </w:r>
      <w:r w:rsidR="00CD12C3">
        <w:rPr>
          <w:rFonts w:ascii="Verdana" w:hAnsi="Verdana"/>
          <w:sz w:val="20"/>
          <w:szCs w:val="20"/>
        </w:rPr>
        <w:t>, Talia Phan</w:t>
      </w:r>
      <w:r w:rsidR="0006755D">
        <w:rPr>
          <w:rFonts w:ascii="Verdana" w:hAnsi="Verdana"/>
          <w:sz w:val="20"/>
          <w:szCs w:val="20"/>
        </w:rPr>
        <w:t>, and 5) Migration</w:t>
      </w:r>
      <w:r w:rsidR="00CD12C3">
        <w:rPr>
          <w:rFonts w:ascii="Verdana" w:hAnsi="Verdana"/>
          <w:sz w:val="20"/>
          <w:szCs w:val="20"/>
        </w:rPr>
        <w:t>, Omar Thomas</w:t>
      </w:r>
      <w:r w:rsidR="0006755D">
        <w:rPr>
          <w:rFonts w:ascii="Verdana" w:hAnsi="Verdana"/>
          <w:sz w:val="20"/>
          <w:szCs w:val="20"/>
        </w:rPr>
        <w:t xml:space="preserve">.  This </w:t>
      </w:r>
      <w:r w:rsidR="00244A76">
        <w:rPr>
          <w:rFonts w:ascii="Verdana" w:hAnsi="Verdana"/>
          <w:sz w:val="20"/>
          <w:szCs w:val="20"/>
        </w:rPr>
        <w:t>project</w:t>
      </w:r>
      <w:r w:rsidR="0077120A">
        <w:rPr>
          <w:rFonts w:ascii="Verdana" w:hAnsi="Verdana"/>
          <w:sz w:val="20"/>
          <w:szCs w:val="20"/>
        </w:rPr>
        <w:t xml:space="preserve"> will start on July 1</w:t>
      </w:r>
      <w:r w:rsidR="0077120A" w:rsidRPr="0077120A">
        <w:rPr>
          <w:rFonts w:ascii="Verdana" w:hAnsi="Verdana"/>
          <w:sz w:val="20"/>
          <w:szCs w:val="20"/>
          <w:vertAlign w:val="superscript"/>
        </w:rPr>
        <w:t>st</w:t>
      </w:r>
      <w:r w:rsidR="0077120A">
        <w:rPr>
          <w:rFonts w:ascii="Verdana" w:hAnsi="Verdana"/>
          <w:sz w:val="20"/>
          <w:szCs w:val="20"/>
        </w:rPr>
        <w:t xml:space="preserve"> and need to be done by December 1</w:t>
      </w:r>
      <w:r w:rsidR="0077120A" w:rsidRPr="0077120A">
        <w:rPr>
          <w:rFonts w:ascii="Verdana" w:hAnsi="Verdana"/>
          <w:sz w:val="20"/>
          <w:szCs w:val="20"/>
          <w:vertAlign w:val="superscript"/>
        </w:rPr>
        <w:t>st</w:t>
      </w:r>
      <w:r w:rsidR="0077120A">
        <w:rPr>
          <w:rFonts w:ascii="Verdana" w:hAnsi="Verdana"/>
          <w:sz w:val="20"/>
          <w:szCs w:val="20"/>
        </w:rPr>
        <w:t xml:space="preserve"> </w:t>
      </w:r>
      <w:r w:rsidR="005579FB">
        <w:rPr>
          <w:rFonts w:ascii="Verdana" w:hAnsi="Verdana"/>
          <w:sz w:val="20"/>
          <w:szCs w:val="20"/>
        </w:rPr>
        <w:t>to</w:t>
      </w:r>
      <w:r w:rsidR="0077120A">
        <w:rPr>
          <w:rFonts w:ascii="Verdana" w:hAnsi="Verdana"/>
          <w:sz w:val="20"/>
          <w:szCs w:val="20"/>
        </w:rPr>
        <w:t xml:space="preserve"> avoid any conflicts during the tax </w:t>
      </w:r>
      <w:r w:rsidR="006B345B">
        <w:rPr>
          <w:rFonts w:ascii="Verdana" w:hAnsi="Verdana"/>
          <w:sz w:val="20"/>
          <w:szCs w:val="20"/>
        </w:rPr>
        <w:t xml:space="preserve">season.  I am the new project manager, just recently hired by the </w:t>
      </w:r>
      <w:r w:rsidR="00B43145">
        <w:rPr>
          <w:rFonts w:ascii="Verdana" w:hAnsi="Verdana"/>
          <w:sz w:val="20"/>
          <w:szCs w:val="20"/>
        </w:rPr>
        <w:t xml:space="preserve">IT Director, Michael Garcia.  It is obvious that communication is good evidenced by </w:t>
      </w:r>
      <w:r w:rsidR="003E5CFA">
        <w:rPr>
          <w:rFonts w:ascii="Verdana" w:hAnsi="Verdana"/>
          <w:sz w:val="20"/>
          <w:szCs w:val="20"/>
        </w:rPr>
        <w:t xml:space="preserve">weekly project meetings on Wednesdays. My first assignment as project </w:t>
      </w:r>
      <w:r w:rsidR="0009641C">
        <w:rPr>
          <w:rFonts w:ascii="Verdana" w:hAnsi="Verdana"/>
          <w:sz w:val="20"/>
          <w:szCs w:val="20"/>
        </w:rPr>
        <w:t xml:space="preserve">manager is to review status reports from the teams, review WBS, and make a Monitoring and Controlling Report.  </w:t>
      </w:r>
      <w:r w:rsidR="00D354ED">
        <w:rPr>
          <w:rFonts w:ascii="Verdana" w:hAnsi="Verdana"/>
          <w:sz w:val="20"/>
          <w:szCs w:val="20"/>
        </w:rPr>
        <w:t xml:space="preserve">The Monitoring and Controlling Report will include the following: </w:t>
      </w:r>
      <w:r w:rsidR="00244A76">
        <w:rPr>
          <w:rFonts w:ascii="Verdana" w:hAnsi="Verdana"/>
          <w:sz w:val="20"/>
          <w:szCs w:val="20"/>
        </w:rPr>
        <w:t>1) Risk</w:t>
      </w:r>
      <w:r w:rsidR="00D354ED">
        <w:rPr>
          <w:rFonts w:ascii="Verdana" w:hAnsi="Verdana"/>
          <w:sz w:val="20"/>
          <w:szCs w:val="20"/>
        </w:rPr>
        <w:t xml:space="preserve"> Assessment, 2) </w:t>
      </w:r>
      <w:r w:rsidR="00B54D94">
        <w:rPr>
          <w:rFonts w:ascii="Verdana" w:hAnsi="Verdana"/>
          <w:sz w:val="20"/>
          <w:szCs w:val="20"/>
        </w:rPr>
        <w:t>Gantt Chart, 3) Earned Value Analysis, 4) Earned Value Projections</w:t>
      </w:r>
      <w:r w:rsidR="00F46152">
        <w:rPr>
          <w:rFonts w:ascii="Verdana" w:hAnsi="Verdana"/>
          <w:sz w:val="20"/>
          <w:szCs w:val="20"/>
        </w:rPr>
        <w:t xml:space="preserve">, 5) Burndown Chart, and 6) discussions of all analysis with </w:t>
      </w:r>
      <w:r w:rsidR="00C2115E">
        <w:rPr>
          <w:rFonts w:ascii="Verdana" w:hAnsi="Verdana"/>
          <w:sz w:val="20"/>
          <w:szCs w:val="20"/>
        </w:rPr>
        <w:t>mitigation strategies.</w:t>
      </w:r>
    </w:p>
    <w:p w14:paraId="0852BE53" w14:textId="77777777" w:rsidR="00C2115E" w:rsidRPr="00DE49AE" w:rsidRDefault="00C2115E" w:rsidP="0083265D">
      <w:pPr>
        <w:spacing w:after="0"/>
        <w:rPr>
          <w:rFonts w:ascii="Verdana" w:hAnsi="Verdana"/>
          <w:sz w:val="20"/>
          <w:szCs w:val="20"/>
        </w:rPr>
      </w:pPr>
    </w:p>
    <w:p w14:paraId="4BF98D91" w14:textId="14C2FEAC" w:rsidR="00DE49AE" w:rsidRPr="00236333" w:rsidRDefault="00960785" w:rsidP="0083265D">
      <w:pPr>
        <w:keepNext/>
        <w:rPr>
          <w:rFonts w:ascii="Verdana" w:hAnsi="Verdana"/>
          <w:b/>
          <w:sz w:val="44"/>
          <w:szCs w:val="44"/>
        </w:rPr>
      </w:pPr>
      <w:r w:rsidRPr="00236333">
        <w:rPr>
          <w:rFonts w:ascii="Verdana" w:hAnsi="Verdana"/>
          <w:b/>
          <w:sz w:val="44"/>
          <w:szCs w:val="44"/>
        </w:rPr>
        <w:lastRenderedPageBreak/>
        <w:t xml:space="preserve">A. </w:t>
      </w:r>
      <w:r w:rsidR="00DE49AE" w:rsidRPr="00236333">
        <w:rPr>
          <w:rFonts w:ascii="Verdana" w:hAnsi="Verdana"/>
          <w:b/>
          <w:sz w:val="44"/>
          <w:szCs w:val="44"/>
        </w:rPr>
        <w:t>Risk Assessment</w:t>
      </w:r>
      <w:r w:rsidR="00236333">
        <w:rPr>
          <w:rFonts w:ascii="Verdana" w:hAnsi="Verdana"/>
          <w:b/>
          <w:sz w:val="44"/>
          <w:szCs w:val="44"/>
        </w:rPr>
        <w:t xml:space="preserve"> (see below)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710"/>
        <w:gridCol w:w="2515"/>
      </w:tblGrid>
      <w:tr w:rsidR="00DE49AE" w:rsidRPr="00DE49AE" w14:paraId="032D9BB5" w14:textId="77777777" w:rsidTr="0083265D">
        <w:trPr>
          <w:cantSplit/>
        </w:trPr>
        <w:tc>
          <w:tcPr>
            <w:tcW w:w="1705" w:type="dxa"/>
          </w:tcPr>
          <w:p w14:paraId="3FB8E27F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lastRenderedPageBreak/>
              <w:t>Risk</w:t>
            </w:r>
          </w:p>
          <w:p w14:paraId="32D5EE6A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Description</w:t>
            </w:r>
          </w:p>
        </w:tc>
        <w:tc>
          <w:tcPr>
            <w:tcW w:w="1710" w:type="dxa"/>
          </w:tcPr>
          <w:p w14:paraId="54282EE6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Likelihood</w:t>
            </w:r>
          </w:p>
          <w:p w14:paraId="249C17F4" w14:textId="15E29A44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(L,</w:t>
            </w:r>
            <w:r w:rsidR="00D8565D"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 xml:space="preserve"> </w:t>
            </w: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M,</w:t>
            </w:r>
            <w:r w:rsidR="00D8565D"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 xml:space="preserve"> </w:t>
            </w: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H)</w:t>
            </w:r>
          </w:p>
        </w:tc>
        <w:tc>
          <w:tcPr>
            <w:tcW w:w="1710" w:type="dxa"/>
          </w:tcPr>
          <w:p w14:paraId="134FC2C9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Impact</w:t>
            </w:r>
          </w:p>
          <w:p w14:paraId="75F05602" w14:textId="38CB2088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(L,</w:t>
            </w:r>
            <w:r w:rsidR="00D8565D"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 xml:space="preserve"> </w:t>
            </w: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M,</w:t>
            </w:r>
            <w:r w:rsidR="00D8565D"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 xml:space="preserve"> </w:t>
            </w: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H)</w:t>
            </w:r>
          </w:p>
        </w:tc>
        <w:tc>
          <w:tcPr>
            <w:tcW w:w="1710" w:type="dxa"/>
          </w:tcPr>
          <w:p w14:paraId="20208563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Responsible Person</w:t>
            </w:r>
          </w:p>
        </w:tc>
        <w:tc>
          <w:tcPr>
            <w:tcW w:w="2515" w:type="dxa"/>
          </w:tcPr>
          <w:p w14:paraId="1AA9E7C8" w14:textId="77777777" w:rsidR="00DE49AE" w:rsidRPr="00151C85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  <w:highlight w:val="yellow"/>
              </w:rPr>
            </w:pPr>
            <w:r w:rsidRPr="00151C85">
              <w:rPr>
                <w:rFonts w:ascii="Verdana" w:hAnsi="Verdana"/>
                <w:iCs/>
                <w:sz w:val="20"/>
                <w:szCs w:val="20"/>
                <w:highlight w:val="yellow"/>
              </w:rPr>
              <w:t>Prevention/Mitigation Strategy</w:t>
            </w:r>
          </w:p>
        </w:tc>
      </w:tr>
      <w:tr w:rsidR="00DE49AE" w:rsidRPr="00DE49AE" w14:paraId="2DA82FD6" w14:textId="77777777" w:rsidTr="0083265D">
        <w:trPr>
          <w:cantSplit/>
        </w:trPr>
        <w:tc>
          <w:tcPr>
            <w:tcW w:w="1705" w:type="dxa"/>
            <w:vAlign w:val="center"/>
          </w:tcPr>
          <w:p w14:paraId="30598BE7" w14:textId="248E6B37" w:rsidR="00DE49AE" w:rsidRPr="00DE49AE" w:rsidRDefault="00020560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In new </w:t>
            </w:r>
            <w:r w:rsidRPr="00BA4645">
              <w:rPr>
                <w:rFonts w:ascii="Verdana" w:hAnsi="Verdana"/>
                <w:b/>
                <w:sz w:val="20"/>
                <w:szCs w:val="20"/>
              </w:rPr>
              <w:t>location</w:t>
            </w:r>
            <w:r w:rsidR="008A1E7C" w:rsidRPr="00BA4645">
              <w:rPr>
                <w:rFonts w:ascii="Verdana" w:hAnsi="Verdana"/>
                <w:b/>
                <w:sz w:val="20"/>
                <w:szCs w:val="20"/>
              </w:rPr>
              <w:t xml:space="preserve"> connectivity</w:t>
            </w:r>
            <w:r w:rsidR="008A1E7C">
              <w:rPr>
                <w:rFonts w:ascii="Verdana" w:hAnsi="Verdana"/>
                <w:bCs/>
                <w:sz w:val="20"/>
                <w:szCs w:val="20"/>
              </w:rPr>
              <w:t xml:space="preserve"> new building power lines need to be rerouted because</w:t>
            </w:r>
            <w:r w:rsidR="00851818">
              <w:rPr>
                <w:rFonts w:ascii="Verdana" w:hAnsi="Verdana"/>
                <w:bCs/>
                <w:sz w:val="20"/>
                <w:szCs w:val="20"/>
              </w:rPr>
              <w:t xml:space="preserve"> they originated in the old part of building structure.</w:t>
            </w:r>
          </w:p>
        </w:tc>
        <w:tc>
          <w:tcPr>
            <w:tcW w:w="1710" w:type="dxa"/>
            <w:vAlign w:val="center"/>
          </w:tcPr>
          <w:p w14:paraId="7658F2A0" w14:textId="1541B797" w:rsidR="00DE49AE" w:rsidRPr="00DE49AE" w:rsidRDefault="0013586A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A4645">
              <w:rPr>
                <w:rFonts w:ascii="Verdana" w:hAnsi="Verdana"/>
                <w:b/>
                <w:sz w:val="20"/>
                <w:szCs w:val="20"/>
              </w:rPr>
              <w:t>High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likelihood of risk occurring</w:t>
            </w:r>
            <w:r w:rsidR="00CF7208">
              <w:rPr>
                <w:rFonts w:ascii="Verdana" w:hAnsi="Verdana"/>
                <w:bCs/>
                <w:sz w:val="20"/>
                <w:szCs w:val="20"/>
              </w:rPr>
              <w:t xml:space="preserve"> because power lines crucial of connectivity for cloud storage</w:t>
            </w:r>
            <w:r w:rsidR="00BA4645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710" w:type="dxa"/>
            <w:vAlign w:val="center"/>
          </w:tcPr>
          <w:p w14:paraId="4D60CD49" w14:textId="766CB05B" w:rsidR="00DE49AE" w:rsidRPr="00DE49AE" w:rsidRDefault="005968F3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411C7B">
              <w:rPr>
                <w:rFonts w:ascii="Verdana" w:hAnsi="Verdana"/>
                <w:b/>
                <w:sz w:val="20"/>
                <w:szCs w:val="20"/>
              </w:rPr>
              <w:t>High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impact of the risk because power lines</w:t>
            </w:r>
            <w:r w:rsidR="00411C7B">
              <w:rPr>
                <w:rFonts w:ascii="Verdana" w:hAnsi="Verdana"/>
                <w:bCs/>
                <w:sz w:val="20"/>
                <w:szCs w:val="20"/>
              </w:rPr>
              <w:t xml:space="preserve"> if not connected project may fail.</w:t>
            </w:r>
          </w:p>
        </w:tc>
        <w:tc>
          <w:tcPr>
            <w:tcW w:w="1710" w:type="dxa"/>
            <w:vAlign w:val="center"/>
          </w:tcPr>
          <w:p w14:paraId="15B053FF" w14:textId="5F2B97B5" w:rsidR="00DE49AE" w:rsidRPr="00DE49AE" w:rsidRDefault="000C796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Sara Patel</w:t>
            </w:r>
          </w:p>
        </w:tc>
        <w:tc>
          <w:tcPr>
            <w:tcW w:w="2515" w:type="dxa"/>
            <w:vAlign w:val="center"/>
          </w:tcPr>
          <w:p w14:paraId="28931563" w14:textId="29990CE7" w:rsidR="00DE49AE" w:rsidRPr="00DE49AE" w:rsidRDefault="000C796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Prevention &amp; mitigation strategy for risk</w:t>
            </w:r>
            <w:r w:rsidR="0047759C">
              <w:rPr>
                <w:rFonts w:ascii="Verdana" w:hAnsi="Verdana"/>
                <w:bCs/>
                <w:sz w:val="20"/>
                <w:szCs w:val="20"/>
              </w:rPr>
              <w:t xml:space="preserve"> for </w:t>
            </w:r>
            <w:r w:rsidR="0047759C" w:rsidRPr="0047759C">
              <w:rPr>
                <w:rFonts w:ascii="Verdana" w:hAnsi="Verdana"/>
                <w:b/>
                <w:sz w:val="20"/>
                <w:szCs w:val="20"/>
              </w:rPr>
              <w:t>facilities team</w:t>
            </w:r>
            <w:r w:rsidR="0047759C">
              <w:rPr>
                <w:rFonts w:ascii="Verdana" w:hAnsi="Verdana"/>
                <w:bCs/>
                <w:sz w:val="20"/>
                <w:szCs w:val="20"/>
              </w:rPr>
              <w:t xml:space="preserve"> to check it out supposed to be on site for </w:t>
            </w:r>
            <w:r w:rsidR="00E174F4">
              <w:rPr>
                <w:rFonts w:ascii="Verdana" w:hAnsi="Verdana"/>
                <w:bCs/>
                <w:sz w:val="20"/>
                <w:szCs w:val="20"/>
              </w:rPr>
              <w:t>construction in September.</w:t>
            </w:r>
          </w:p>
        </w:tc>
      </w:tr>
      <w:tr w:rsidR="00DE49AE" w:rsidRPr="00DE49AE" w14:paraId="6BBD2A23" w14:textId="77777777" w:rsidTr="0083265D">
        <w:trPr>
          <w:cantSplit/>
        </w:trPr>
        <w:tc>
          <w:tcPr>
            <w:tcW w:w="1705" w:type="dxa"/>
            <w:vAlign w:val="center"/>
          </w:tcPr>
          <w:p w14:paraId="395014BA" w14:textId="47DEEDBE" w:rsidR="00DE49AE" w:rsidRPr="00DE49AE" w:rsidRDefault="009A307B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Enabl</w:t>
            </w:r>
            <w:r w:rsidR="005E581E">
              <w:rPr>
                <w:rFonts w:ascii="Verdana" w:hAnsi="Verdana"/>
                <w:bCs/>
                <w:sz w:val="20"/>
                <w:szCs w:val="20"/>
              </w:rPr>
              <w:t>ing on all VPN servers two-factor authentication for end-user</w:t>
            </w:r>
            <w:r w:rsidR="00954422">
              <w:rPr>
                <w:rFonts w:ascii="Verdana" w:hAnsi="Verdana"/>
                <w:bCs/>
                <w:sz w:val="20"/>
                <w:szCs w:val="20"/>
              </w:rPr>
              <w:t xml:space="preserve"> machines to meet compliance with all policies for </w:t>
            </w:r>
            <w:r w:rsidR="00954422" w:rsidRPr="00954422">
              <w:rPr>
                <w:rFonts w:ascii="Verdana" w:hAnsi="Verdana"/>
                <w:b/>
                <w:sz w:val="20"/>
                <w:szCs w:val="20"/>
              </w:rPr>
              <w:t>security</w:t>
            </w:r>
            <w:r w:rsidR="00954422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710" w:type="dxa"/>
            <w:vAlign w:val="center"/>
          </w:tcPr>
          <w:p w14:paraId="5037E668" w14:textId="5F92811A" w:rsidR="00DE49AE" w:rsidRPr="00DE49AE" w:rsidRDefault="004F5FAD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504D90">
              <w:rPr>
                <w:rFonts w:ascii="Verdana" w:hAnsi="Verdana"/>
                <w:b/>
                <w:sz w:val="20"/>
                <w:szCs w:val="20"/>
              </w:rPr>
              <w:t>High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likelihood of risk occurring because </w:t>
            </w:r>
            <w:r w:rsidR="00750243">
              <w:rPr>
                <w:rFonts w:ascii="Verdana" w:hAnsi="Verdana"/>
                <w:bCs/>
                <w:sz w:val="20"/>
                <w:szCs w:val="20"/>
              </w:rPr>
              <w:t xml:space="preserve">of security </w:t>
            </w:r>
            <w:r w:rsidR="00BC292B">
              <w:rPr>
                <w:rFonts w:ascii="Verdana" w:hAnsi="Verdana"/>
                <w:bCs/>
                <w:sz w:val="20"/>
                <w:szCs w:val="20"/>
              </w:rPr>
              <w:t>which needs two-factor authentication</w:t>
            </w:r>
            <w:r w:rsidR="00504D90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710" w:type="dxa"/>
            <w:vAlign w:val="center"/>
          </w:tcPr>
          <w:p w14:paraId="0B8EFE86" w14:textId="4A6B53EE" w:rsidR="00DE49AE" w:rsidRPr="00DE49AE" w:rsidRDefault="00504D90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B6AEC">
              <w:rPr>
                <w:rFonts w:ascii="Verdana" w:hAnsi="Verdana"/>
                <w:b/>
                <w:sz w:val="20"/>
                <w:szCs w:val="20"/>
              </w:rPr>
              <w:t>High i</w:t>
            </w:r>
            <w:r w:rsidR="00482791">
              <w:rPr>
                <w:rFonts w:ascii="Verdana" w:hAnsi="Verdana"/>
                <w:bCs/>
                <w:sz w:val="20"/>
                <w:szCs w:val="20"/>
              </w:rPr>
              <w:t xml:space="preserve">mpact of risk because </w:t>
            </w:r>
            <w:r w:rsidR="00BB6AEC">
              <w:rPr>
                <w:rFonts w:ascii="Verdana" w:hAnsi="Verdana"/>
                <w:bCs/>
                <w:sz w:val="20"/>
                <w:szCs w:val="20"/>
              </w:rPr>
              <w:t>of not meeting compliance with all policies.</w:t>
            </w:r>
          </w:p>
        </w:tc>
        <w:tc>
          <w:tcPr>
            <w:tcW w:w="1710" w:type="dxa"/>
            <w:vAlign w:val="center"/>
          </w:tcPr>
          <w:p w14:paraId="07C70CE3" w14:textId="0CBB9502" w:rsidR="00DE49AE" w:rsidRPr="00DE49AE" w:rsidRDefault="00722FD1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Sophia Miller</w:t>
            </w:r>
          </w:p>
        </w:tc>
        <w:tc>
          <w:tcPr>
            <w:tcW w:w="2515" w:type="dxa"/>
            <w:vAlign w:val="center"/>
          </w:tcPr>
          <w:p w14:paraId="7A460866" w14:textId="5592BDA2" w:rsidR="00DE49AE" w:rsidRPr="000652E2" w:rsidRDefault="00722FD1" w:rsidP="0083265D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Prevention &amp; mitigation strategy for risk</w:t>
            </w:r>
            <w:r w:rsidR="00FF0C7A">
              <w:rPr>
                <w:rFonts w:ascii="Verdana" w:hAnsi="Verdana"/>
                <w:bCs/>
                <w:sz w:val="20"/>
                <w:szCs w:val="20"/>
              </w:rPr>
              <w:t xml:space="preserve"> in </w:t>
            </w:r>
            <w:r w:rsidR="00FF0C7A" w:rsidRPr="005D54A5">
              <w:rPr>
                <w:rFonts w:ascii="Verdana" w:hAnsi="Verdana"/>
                <w:b/>
                <w:sz w:val="20"/>
                <w:szCs w:val="20"/>
              </w:rPr>
              <w:t>hiring additional personnel</w:t>
            </w:r>
            <w:r w:rsidR="005D54A5">
              <w:rPr>
                <w:rFonts w:ascii="Verdana" w:hAnsi="Verdana"/>
                <w:bCs/>
                <w:sz w:val="20"/>
                <w:szCs w:val="20"/>
              </w:rPr>
              <w:t xml:space="preserve"> to help finish enabling on all servers two-factor authentication.</w:t>
            </w:r>
          </w:p>
        </w:tc>
      </w:tr>
      <w:tr w:rsidR="00DE49AE" w:rsidRPr="00DE49AE" w14:paraId="333DAD1C" w14:textId="77777777" w:rsidTr="0083265D">
        <w:trPr>
          <w:cantSplit/>
        </w:trPr>
        <w:tc>
          <w:tcPr>
            <w:tcW w:w="1705" w:type="dxa"/>
          </w:tcPr>
          <w:p w14:paraId="38DAA828" w14:textId="37A23379" w:rsidR="00DE49AE" w:rsidRPr="00DE49AE" w:rsidRDefault="005758A4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Old backup system </w:t>
            </w:r>
            <w:r w:rsidR="006D2B27">
              <w:rPr>
                <w:rFonts w:ascii="Verdana" w:hAnsi="Verdana"/>
                <w:bCs/>
                <w:sz w:val="20"/>
                <w:szCs w:val="20"/>
              </w:rPr>
              <w:t>has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duplicated files in which they cannot determine which</w:t>
            </w:r>
            <w:r w:rsidR="00A2733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2733B" w:rsidRPr="00A2733B">
              <w:rPr>
                <w:rFonts w:ascii="Verdana" w:hAnsi="Verdana"/>
                <w:b/>
                <w:sz w:val="20"/>
                <w:szCs w:val="20"/>
              </w:rPr>
              <w:t>files to be removed</w:t>
            </w:r>
            <w:r w:rsidR="00A2733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710" w:type="dxa"/>
            <w:vAlign w:val="center"/>
          </w:tcPr>
          <w:p w14:paraId="3771DE7F" w14:textId="683B3ADB" w:rsidR="00DE49AE" w:rsidRPr="00DE49AE" w:rsidRDefault="00927D8C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4501ED">
              <w:rPr>
                <w:rFonts w:ascii="Verdana" w:hAnsi="Verdana"/>
                <w:b/>
                <w:sz w:val="20"/>
                <w:szCs w:val="20"/>
              </w:rPr>
              <w:t>Low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likelihood of risk occurring because</w:t>
            </w:r>
            <w:r w:rsidR="005E5674">
              <w:rPr>
                <w:rFonts w:ascii="Verdana" w:hAnsi="Verdana"/>
                <w:bCs/>
                <w:sz w:val="20"/>
                <w:szCs w:val="20"/>
              </w:rPr>
              <w:t xml:space="preserve"> no other files will be added for backup</w:t>
            </w:r>
            <w:r w:rsidR="004501ED">
              <w:rPr>
                <w:rFonts w:ascii="Verdana" w:hAnsi="Verdana"/>
                <w:bCs/>
                <w:sz w:val="20"/>
                <w:szCs w:val="20"/>
              </w:rPr>
              <w:t xml:space="preserve"> for new system will be in place.</w:t>
            </w:r>
          </w:p>
        </w:tc>
        <w:tc>
          <w:tcPr>
            <w:tcW w:w="1710" w:type="dxa"/>
            <w:vAlign w:val="center"/>
          </w:tcPr>
          <w:p w14:paraId="2671916B" w14:textId="682C1C01" w:rsidR="00DE49AE" w:rsidRPr="00DE49AE" w:rsidRDefault="0071052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6242EB">
              <w:rPr>
                <w:rFonts w:ascii="Verdana" w:hAnsi="Verdana"/>
                <w:b/>
                <w:sz w:val="20"/>
                <w:szCs w:val="20"/>
              </w:rPr>
              <w:t>Low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impact of the risk because</w:t>
            </w:r>
            <w:r w:rsidR="00D43FC7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720C35">
              <w:rPr>
                <w:rFonts w:ascii="Verdana" w:hAnsi="Verdana"/>
                <w:bCs/>
                <w:sz w:val="20"/>
                <w:szCs w:val="20"/>
              </w:rPr>
              <w:t xml:space="preserve">the risk of </w:t>
            </w:r>
            <w:r w:rsidR="006242EB">
              <w:rPr>
                <w:rFonts w:ascii="Verdana" w:hAnsi="Verdana"/>
                <w:bCs/>
                <w:sz w:val="20"/>
                <w:szCs w:val="20"/>
              </w:rPr>
              <w:t>removing</w:t>
            </w:r>
            <w:r w:rsidR="00720C35">
              <w:rPr>
                <w:rFonts w:ascii="Verdana" w:hAnsi="Verdana"/>
                <w:bCs/>
                <w:sz w:val="20"/>
                <w:szCs w:val="20"/>
              </w:rPr>
              <w:t xml:space="preserve"> files would not impact the new system.</w:t>
            </w:r>
          </w:p>
        </w:tc>
        <w:tc>
          <w:tcPr>
            <w:tcW w:w="1710" w:type="dxa"/>
            <w:vAlign w:val="center"/>
          </w:tcPr>
          <w:p w14:paraId="6DE48332" w14:textId="754500CD" w:rsidR="00DE49AE" w:rsidRPr="00DE49AE" w:rsidRDefault="00A22CCF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Daniel Johnson</w:t>
            </w:r>
          </w:p>
        </w:tc>
        <w:tc>
          <w:tcPr>
            <w:tcW w:w="2515" w:type="dxa"/>
            <w:vAlign w:val="center"/>
          </w:tcPr>
          <w:p w14:paraId="728A0062" w14:textId="28E45DC5" w:rsidR="00DE49AE" w:rsidRPr="00DE49AE" w:rsidRDefault="008671C0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Prevention &amp; mitigation strategy for risk for </w:t>
            </w:r>
            <w:r w:rsidRPr="004818A6">
              <w:rPr>
                <w:rFonts w:ascii="Verdana" w:hAnsi="Verdana"/>
                <w:b/>
                <w:sz w:val="20"/>
                <w:szCs w:val="20"/>
              </w:rPr>
              <w:t xml:space="preserve">new hire training </w:t>
            </w:r>
            <w:r>
              <w:rPr>
                <w:rFonts w:ascii="Verdana" w:hAnsi="Verdana"/>
                <w:bCs/>
                <w:sz w:val="20"/>
                <w:szCs w:val="20"/>
              </w:rPr>
              <w:t>to trouble-shoot</w:t>
            </w:r>
            <w:r w:rsidR="008762C8">
              <w:rPr>
                <w:rFonts w:ascii="Verdana" w:hAnsi="Verdana"/>
                <w:bCs/>
                <w:sz w:val="20"/>
                <w:szCs w:val="20"/>
              </w:rPr>
              <w:t xml:space="preserve"> problems with duplicated files and </w:t>
            </w:r>
            <w:r w:rsidR="008762C8" w:rsidRPr="004818A6">
              <w:rPr>
                <w:rFonts w:ascii="Verdana" w:hAnsi="Verdana"/>
                <w:b/>
                <w:sz w:val="20"/>
                <w:szCs w:val="20"/>
              </w:rPr>
              <w:t>removing duplicated files</w:t>
            </w:r>
            <w:r w:rsidR="008762C8">
              <w:rPr>
                <w:rFonts w:ascii="Verdana" w:hAnsi="Verdana"/>
                <w:bCs/>
                <w:sz w:val="20"/>
                <w:szCs w:val="20"/>
              </w:rPr>
              <w:t xml:space="preserve"> by newly </w:t>
            </w:r>
            <w:r w:rsidR="004818A6">
              <w:rPr>
                <w:rFonts w:ascii="Verdana" w:hAnsi="Verdana"/>
                <w:bCs/>
                <w:sz w:val="20"/>
                <w:szCs w:val="20"/>
              </w:rPr>
              <w:t>hired trained personnel.</w:t>
            </w:r>
          </w:p>
        </w:tc>
      </w:tr>
      <w:tr w:rsidR="00DE49AE" w:rsidRPr="00DE49AE" w14:paraId="69209A3A" w14:textId="77777777" w:rsidTr="0083265D">
        <w:trPr>
          <w:cantSplit/>
        </w:trPr>
        <w:tc>
          <w:tcPr>
            <w:tcW w:w="1705" w:type="dxa"/>
            <w:vAlign w:val="center"/>
          </w:tcPr>
          <w:p w14:paraId="4ADCA76C" w14:textId="2BFA1EAA" w:rsidR="00DE49AE" w:rsidRPr="00DE49AE" w:rsidRDefault="00ED1FA3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In </w:t>
            </w:r>
            <w:r w:rsidRPr="006B43A2">
              <w:rPr>
                <w:rFonts w:ascii="Verdana" w:hAnsi="Verdana"/>
                <w:b/>
                <w:sz w:val="20"/>
                <w:szCs w:val="20"/>
              </w:rPr>
              <w:t>testing the environment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QA automation</w:t>
            </w:r>
            <w:r w:rsidR="008E7751">
              <w:rPr>
                <w:rFonts w:ascii="Verdana" w:hAnsi="Verdana"/>
                <w:bCs/>
                <w:sz w:val="20"/>
                <w:szCs w:val="20"/>
              </w:rPr>
              <w:t xml:space="preserve"> engineers have not been added as authorized users; therefore, unable to </w:t>
            </w:r>
            <w:r w:rsidR="006B43A2">
              <w:rPr>
                <w:rFonts w:ascii="Verdana" w:hAnsi="Verdana"/>
                <w:bCs/>
                <w:sz w:val="20"/>
                <w:szCs w:val="20"/>
              </w:rPr>
              <w:t>migrate data for testing.</w:t>
            </w:r>
          </w:p>
        </w:tc>
        <w:tc>
          <w:tcPr>
            <w:tcW w:w="1710" w:type="dxa"/>
            <w:vAlign w:val="center"/>
          </w:tcPr>
          <w:p w14:paraId="0E0FBD38" w14:textId="1D9FAB57" w:rsidR="00DE49AE" w:rsidRPr="00DE49AE" w:rsidRDefault="006978F0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EC3611">
              <w:rPr>
                <w:rFonts w:ascii="Verdana" w:hAnsi="Verdana"/>
                <w:b/>
                <w:sz w:val="20"/>
                <w:szCs w:val="20"/>
              </w:rPr>
              <w:t>High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likelihood of risk occurring because</w:t>
            </w:r>
            <w:r w:rsidR="00A01B23">
              <w:rPr>
                <w:rFonts w:ascii="Verdana" w:hAnsi="Verdana"/>
                <w:bCs/>
                <w:sz w:val="20"/>
                <w:szCs w:val="20"/>
              </w:rPr>
              <w:t xml:space="preserve"> if testing is not done </w:t>
            </w:r>
            <w:r w:rsidR="00831A8D">
              <w:rPr>
                <w:rFonts w:ascii="Verdana" w:hAnsi="Verdana"/>
                <w:bCs/>
                <w:sz w:val="20"/>
                <w:szCs w:val="20"/>
              </w:rPr>
              <w:t xml:space="preserve">to migrate data problems may </w:t>
            </w:r>
            <w:r w:rsidR="00EC3611">
              <w:rPr>
                <w:rFonts w:ascii="Verdana" w:hAnsi="Verdana"/>
                <w:bCs/>
                <w:sz w:val="20"/>
                <w:szCs w:val="20"/>
              </w:rPr>
              <w:t>occur in migration.</w:t>
            </w:r>
          </w:p>
        </w:tc>
        <w:tc>
          <w:tcPr>
            <w:tcW w:w="1710" w:type="dxa"/>
            <w:vAlign w:val="center"/>
          </w:tcPr>
          <w:p w14:paraId="0CDABECD" w14:textId="6DD3DF87" w:rsidR="00DE49AE" w:rsidRPr="00DE49AE" w:rsidRDefault="00F269BD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20046F">
              <w:rPr>
                <w:rFonts w:ascii="Verdana" w:hAnsi="Verdana"/>
                <w:b/>
                <w:sz w:val="20"/>
                <w:szCs w:val="20"/>
              </w:rPr>
              <w:t>High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impact of the risk because of the need</w:t>
            </w:r>
            <w:r w:rsidR="00437A6C">
              <w:rPr>
                <w:rFonts w:ascii="Verdana" w:hAnsi="Verdana"/>
                <w:bCs/>
                <w:sz w:val="20"/>
                <w:szCs w:val="20"/>
              </w:rPr>
              <w:t xml:space="preserve"> for authorized users such as QA automation engineers to test the environment</w:t>
            </w:r>
            <w:r w:rsidR="00334A3A">
              <w:rPr>
                <w:rFonts w:ascii="Verdana" w:hAnsi="Verdana"/>
                <w:bCs/>
                <w:sz w:val="20"/>
                <w:szCs w:val="20"/>
              </w:rPr>
              <w:t xml:space="preserve"> for bugs.</w:t>
            </w:r>
          </w:p>
        </w:tc>
        <w:tc>
          <w:tcPr>
            <w:tcW w:w="1710" w:type="dxa"/>
            <w:vAlign w:val="center"/>
          </w:tcPr>
          <w:p w14:paraId="3ED66D74" w14:textId="00B67A72" w:rsidR="00DE49AE" w:rsidRPr="00DE49AE" w:rsidRDefault="0020046F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Talia Phan</w:t>
            </w:r>
          </w:p>
        </w:tc>
        <w:tc>
          <w:tcPr>
            <w:tcW w:w="2515" w:type="dxa"/>
            <w:vAlign w:val="center"/>
          </w:tcPr>
          <w:p w14:paraId="4331D0B5" w14:textId="6406206E" w:rsidR="00DE49AE" w:rsidRPr="00DE49AE" w:rsidRDefault="006F0474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Prevention &amp; mitigation strategy for risk </w:t>
            </w:r>
            <w:r w:rsidR="00CF0859">
              <w:rPr>
                <w:rFonts w:ascii="Verdana" w:hAnsi="Verdana"/>
                <w:bCs/>
                <w:sz w:val="20"/>
                <w:szCs w:val="20"/>
              </w:rPr>
              <w:t>to have a month to preventing risk by adding QA engineers as authorized</w:t>
            </w:r>
            <w:r w:rsidR="00106B36">
              <w:rPr>
                <w:rFonts w:ascii="Verdana" w:hAnsi="Verdana"/>
                <w:bCs/>
                <w:sz w:val="20"/>
                <w:szCs w:val="20"/>
              </w:rPr>
              <w:t xml:space="preserve"> users to </w:t>
            </w:r>
            <w:r w:rsidR="00106B36" w:rsidRPr="00106B36">
              <w:rPr>
                <w:rFonts w:ascii="Verdana" w:hAnsi="Verdana"/>
                <w:b/>
                <w:sz w:val="20"/>
                <w:szCs w:val="20"/>
              </w:rPr>
              <w:t>migrate data for testing.</w:t>
            </w:r>
          </w:p>
        </w:tc>
      </w:tr>
      <w:tr w:rsidR="00DE49AE" w:rsidRPr="00DE49AE" w14:paraId="3FA953E1" w14:textId="77777777" w:rsidTr="0083265D">
        <w:trPr>
          <w:cantSplit/>
        </w:trPr>
        <w:tc>
          <w:tcPr>
            <w:tcW w:w="1705" w:type="dxa"/>
            <w:vAlign w:val="center"/>
          </w:tcPr>
          <w:p w14:paraId="276DA0F2" w14:textId="5DE0294C" w:rsidR="00DE49AE" w:rsidRPr="00DE49AE" w:rsidRDefault="00342F6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lastRenderedPageBreak/>
              <w:t xml:space="preserve">Issue of risk not having </w:t>
            </w:r>
            <w:r w:rsidRPr="006568D2">
              <w:rPr>
                <w:rFonts w:ascii="Verdana" w:hAnsi="Verdana"/>
                <w:b/>
                <w:sz w:val="20"/>
                <w:szCs w:val="20"/>
              </w:rPr>
              <w:t>system monitoring</w:t>
            </w:r>
            <w:r w:rsidR="00031B38">
              <w:rPr>
                <w:rFonts w:ascii="Verdana" w:hAnsi="Verdana"/>
                <w:bCs/>
                <w:sz w:val="20"/>
                <w:szCs w:val="20"/>
              </w:rPr>
              <w:t xml:space="preserve"> during Thanksgiving holiday necessary to determine to have</w:t>
            </w:r>
            <w:r w:rsidR="006568D2">
              <w:rPr>
                <w:rFonts w:ascii="Verdana" w:hAnsi="Verdana"/>
                <w:bCs/>
                <w:sz w:val="20"/>
                <w:szCs w:val="20"/>
              </w:rPr>
              <w:t xml:space="preserve"> team member in office when company closed.</w:t>
            </w:r>
          </w:p>
        </w:tc>
        <w:tc>
          <w:tcPr>
            <w:tcW w:w="1710" w:type="dxa"/>
            <w:vAlign w:val="center"/>
          </w:tcPr>
          <w:p w14:paraId="33C43896" w14:textId="52E7FE20" w:rsidR="00DE49AE" w:rsidRPr="00DE49AE" w:rsidRDefault="00E40113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65835">
              <w:rPr>
                <w:rFonts w:ascii="Verdana" w:hAnsi="Verdana"/>
                <w:b/>
                <w:sz w:val="20"/>
                <w:szCs w:val="20"/>
              </w:rPr>
              <w:t xml:space="preserve">Medium </w:t>
            </w:r>
            <w:r>
              <w:rPr>
                <w:rFonts w:ascii="Verdana" w:hAnsi="Verdana"/>
                <w:bCs/>
                <w:sz w:val="20"/>
                <w:szCs w:val="20"/>
              </w:rPr>
              <w:t>likelihood of risk occurring</w:t>
            </w:r>
            <w:r w:rsidR="00BE046C">
              <w:rPr>
                <w:rFonts w:ascii="Verdana" w:hAnsi="Verdana"/>
                <w:bCs/>
                <w:sz w:val="20"/>
                <w:szCs w:val="20"/>
              </w:rPr>
              <w:t xml:space="preserve"> because </w:t>
            </w:r>
            <w:r w:rsidR="00FE6A9F">
              <w:rPr>
                <w:rFonts w:ascii="Verdana" w:hAnsi="Verdana"/>
                <w:bCs/>
                <w:sz w:val="20"/>
                <w:szCs w:val="20"/>
              </w:rPr>
              <w:t xml:space="preserve">system </w:t>
            </w:r>
            <w:r w:rsidR="002F786B">
              <w:rPr>
                <w:rFonts w:ascii="Verdana" w:hAnsi="Verdana"/>
                <w:bCs/>
                <w:sz w:val="20"/>
                <w:szCs w:val="20"/>
              </w:rPr>
              <w:t>monitoring</w:t>
            </w:r>
            <w:r w:rsidR="00FB2013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50193A">
              <w:rPr>
                <w:rFonts w:ascii="Verdana" w:hAnsi="Verdana"/>
                <w:bCs/>
                <w:sz w:val="20"/>
                <w:szCs w:val="20"/>
              </w:rPr>
              <w:t>may be handled</w:t>
            </w:r>
            <w:r w:rsidR="00581FFF">
              <w:rPr>
                <w:rFonts w:ascii="Verdana" w:hAnsi="Verdana"/>
                <w:bCs/>
                <w:sz w:val="20"/>
                <w:szCs w:val="20"/>
              </w:rPr>
              <w:t xml:space="preserve"> through VPN connection</w:t>
            </w:r>
            <w:r w:rsidR="00D3150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710" w:type="dxa"/>
            <w:vAlign w:val="center"/>
          </w:tcPr>
          <w:p w14:paraId="09BB8FB6" w14:textId="59CF1B0A" w:rsidR="00DE49AE" w:rsidRPr="00DE49AE" w:rsidRDefault="00EC0795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A1543B">
              <w:rPr>
                <w:rFonts w:ascii="Verdana" w:hAnsi="Verdana"/>
                <w:b/>
                <w:sz w:val="20"/>
                <w:szCs w:val="20"/>
              </w:rPr>
              <w:t xml:space="preserve">Medium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impact of the risk because </w:t>
            </w:r>
            <w:r w:rsidR="008E1CBA">
              <w:rPr>
                <w:rFonts w:ascii="Verdana" w:hAnsi="Verdana"/>
                <w:bCs/>
                <w:sz w:val="20"/>
                <w:szCs w:val="20"/>
              </w:rPr>
              <w:t>it will be determine</w:t>
            </w:r>
            <w:r w:rsidR="003A7328">
              <w:rPr>
                <w:rFonts w:ascii="Verdana" w:hAnsi="Verdana"/>
                <w:bCs/>
                <w:sz w:val="20"/>
                <w:szCs w:val="20"/>
              </w:rPr>
              <w:t>d</w:t>
            </w:r>
            <w:r w:rsidR="008E1CBA">
              <w:rPr>
                <w:rFonts w:ascii="Verdana" w:hAnsi="Verdana"/>
                <w:bCs/>
                <w:sz w:val="20"/>
                <w:szCs w:val="20"/>
              </w:rPr>
              <w:t xml:space="preserve"> whether team member</w:t>
            </w:r>
            <w:r w:rsidR="003A7328">
              <w:rPr>
                <w:rFonts w:ascii="Verdana" w:hAnsi="Verdana"/>
                <w:bCs/>
                <w:sz w:val="20"/>
                <w:szCs w:val="20"/>
              </w:rPr>
              <w:t xml:space="preserve"> presence in office</w:t>
            </w:r>
            <w:r w:rsidR="00A1543B">
              <w:rPr>
                <w:rFonts w:ascii="Verdana" w:hAnsi="Verdana"/>
                <w:bCs/>
                <w:sz w:val="20"/>
                <w:szCs w:val="20"/>
              </w:rPr>
              <w:t xml:space="preserve"> necessary in incoming planned scheduling.</w:t>
            </w:r>
          </w:p>
        </w:tc>
        <w:tc>
          <w:tcPr>
            <w:tcW w:w="1710" w:type="dxa"/>
            <w:vAlign w:val="center"/>
          </w:tcPr>
          <w:p w14:paraId="7B84FBF3" w14:textId="0C6D5519" w:rsidR="00DE49AE" w:rsidRPr="00DE49AE" w:rsidRDefault="00221EF4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Omar Thomas</w:t>
            </w:r>
          </w:p>
        </w:tc>
        <w:tc>
          <w:tcPr>
            <w:tcW w:w="2515" w:type="dxa"/>
            <w:vAlign w:val="center"/>
          </w:tcPr>
          <w:p w14:paraId="37C29A61" w14:textId="019CEAA5" w:rsidR="00DE49AE" w:rsidRPr="00DE49AE" w:rsidRDefault="00221EF4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Prevention &amp; mitigation strategy for risk for having or not having team member</w:t>
            </w:r>
            <w:r w:rsidR="004C7BF0">
              <w:rPr>
                <w:rFonts w:ascii="Verdana" w:hAnsi="Verdana"/>
                <w:bCs/>
                <w:sz w:val="20"/>
                <w:szCs w:val="20"/>
              </w:rPr>
              <w:t xml:space="preserve"> in officed during holidays for </w:t>
            </w:r>
            <w:r w:rsidR="004C7BF0" w:rsidRPr="00220F64">
              <w:rPr>
                <w:rFonts w:ascii="Verdana" w:hAnsi="Verdana"/>
                <w:b/>
                <w:sz w:val="20"/>
                <w:szCs w:val="20"/>
              </w:rPr>
              <w:t>system monitoring</w:t>
            </w:r>
            <w:r w:rsidR="004C7BF0">
              <w:rPr>
                <w:rFonts w:ascii="Verdana" w:hAnsi="Verdana"/>
                <w:bCs/>
                <w:sz w:val="20"/>
                <w:szCs w:val="20"/>
              </w:rPr>
              <w:t xml:space="preserve"> will be determined by the first week of October when schedules are planned.</w:t>
            </w:r>
          </w:p>
        </w:tc>
      </w:tr>
      <w:tr w:rsidR="00DE49AE" w:rsidRPr="00DE49AE" w14:paraId="611A8546" w14:textId="77777777" w:rsidTr="0083265D">
        <w:trPr>
          <w:cantSplit/>
        </w:trPr>
        <w:tc>
          <w:tcPr>
            <w:tcW w:w="1705" w:type="dxa"/>
            <w:vAlign w:val="center"/>
          </w:tcPr>
          <w:p w14:paraId="4F1D7F53" w14:textId="303A558F" w:rsidR="00DE49AE" w:rsidRPr="00DE49AE" w:rsidRDefault="00DE49A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AA81BF" w14:textId="48F11515" w:rsidR="00DE49AE" w:rsidRPr="00DE49AE" w:rsidRDefault="00DE49A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D405A1F" w14:textId="63C2A111" w:rsidR="00DE49AE" w:rsidRPr="00DE49AE" w:rsidRDefault="00DE49A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8CE3A05" w14:textId="3CA9EC3B" w:rsidR="00DE49AE" w:rsidRPr="00DE49AE" w:rsidRDefault="00DE49A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15" w:type="dxa"/>
            <w:vAlign w:val="center"/>
          </w:tcPr>
          <w:p w14:paraId="6A9494BA" w14:textId="5DD87237" w:rsidR="00DE49AE" w:rsidRPr="00DE49AE" w:rsidRDefault="00DE49AE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177C93D" w14:textId="472B9F3F" w:rsidR="00DE49AE" w:rsidRPr="0083265D" w:rsidRDefault="0083265D" w:rsidP="0083265D">
      <w:pPr>
        <w:spacing w:after="0"/>
        <w:rPr>
          <w:rFonts w:ascii="Verdana" w:hAnsi="Verdana"/>
          <w:i/>
          <w:sz w:val="20"/>
          <w:szCs w:val="20"/>
        </w:rPr>
      </w:pPr>
      <w:r w:rsidRPr="0083265D">
        <w:rPr>
          <w:rFonts w:ascii="Verdana" w:hAnsi="Verdana"/>
          <w:i/>
          <w:sz w:val="20"/>
          <w:szCs w:val="20"/>
        </w:rPr>
        <w:t>Key: L=Low, M=Medium, H=High</w:t>
      </w:r>
    </w:p>
    <w:p w14:paraId="09DCB68D" w14:textId="77777777" w:rsidR="0083265D" w:rsidRPr="00DE49AE" w:rsidRDefault="0083265D" w:rsidP="0083265D">
      <w:pPr>
        <w:spacing w:after="0"/>
        <w:rPr>
          <w:rFonts w:ascii="Verdana" w:hAnsi="Verdana"/>
          <w:sz w:val="20"/>
          <w:szCs w:val="20"/>
        </w:rPr>
      </w:pPr>
    </w:p>
    <w:p w14:paraId="7B6FF7D5" w14:textId="7BDED7B8" w:rsidR="00DE49AE" w:rsidRDefault="00960785" w:rsidP="00DE49AE">
      <w:pPr>
        <w:rPr>
          <w:rFonts w:ascii="Verdana" w:hAnsi="Verdana"/>
          <w:b/>
          <w:sz w:val="20"/>
          <w:szCs w:val="20"/>
        </w:rPr>
      </w:pPr>
      <w:r w:rsidRPr="008E5652">
        <w:rPr>
          <w:rFonts w:ascii="Verdana" w:hAnsi="Verdana"/>
          <w:b/>
          <w:sz w:val="20"/>
          <w:szCs w:val="20"/>
        </w:rPr>
        <w:t xml:space="preserve">B. </w:t>
      </w:r>
      <w:r w:rsidR="00DE49AE" w:rsidRPr="008E5652">
        <w:rPr>
          <w:rFonts w:ascii="Verdana" w:hAnsi="Verdana"/>
          <w:b/>
          <w:sz w:val="20"/>
          <w:szCs w:val="20"/>
        </w:rPr>
        <w:t>Gantt Chart</w:t>
      </w:r>
    </w:p>
    <w:p w14:paraId="50E02FEB" w14:textId="03D765A8" w:rsidR="0083265D" w:rsidRPr="001E29CE" w:rsidRDefault="009B7801" w:rsidP="0083265D">
      <w:pPr>
        <w:rPr>
          <w:rFonts w:ascii="Verdana" w:hAnsi="Verdana"/>
          <w:b/>
          <w:bCs/>
          <w:color w:val="FF0000"/>
          <w:sz w:val="20"/>
          <w:szCs w:val="20"/>
        </w:rPr>
      </w:pPr>
      <w:r w:rsidRPr="001E29CE">
        <w:rPr>
          <w:rFonts w:ascii="Verdana" w:hAnsi="Verdana"/>
          <w:b/>
          <w:bCs/>
          <w:color w:val="FF0000"/>
          <w:sz w:val="20"/>
          <w:szCs w:val="20"/>
        </w:rPr>
        <w:t>Please see</w:t>
      </w:r>
      <w:r w:rsidR="00472CEA" w:rsidRPr="001E29CE">
        <w:rPr>
          <w:rFonts w:ascii="Verdana" w:hAnsi="Verdana"/>
          <w:b/>
          <w:bCs/>
          <w:color w:val="FF0000"/>
          <w:sz w:val="20"/>
          <w:szCs w:val="20"/>
        </w:rPr>
        <w:t xml:space="preserve"> file upload for Gantt Chart </w:t>
      </w:r>
      <w:r w:rsidR="002C7E0E" w:rsidRPr="001E29CE">
        <w:rPr>
          <w:rFonts w:ascii="Verdana" w:hAnsi="Verdana"/>
          <w:b/>
          <w:bCs/>
          <w:color w:val="FF0000"/>
          <w:sz w:val="20"/>
          <w:szCs w:val="20"/>
        </w:rPr>
        <w:t>(</w:t>
      </w:r>
      <w:proofErr w:type="spellStart"/>
      <w:r w:rsidR="002C7E0E" w:rsidRPr="001E29CE">
        <w:rPr>
          <w:rFonts w:ascii="Verdana" w:hAnsi="Verdana"/>
          <w:b/>
          <w:bCs/>
          <w:color w:val="FF0000"/>
          <w:sz w:val="20"/>
          <w:szCs w:val="20"/>
        </w:rPr>
        <w:t>ProjectLibre</w:t>
      </w:r>
      <w:proofErr w:type="spellEnd"/>
      <w:r w:rsidR="002C7E0E" w:rsidRPr="001E29CE">
        <w:rPr>
          <w:rFonts w:ascii="Verdana" w:hAnsi="Verdana"/>
          <w:b/>
          <w:bCs/>
          <w:color w:val="FF0000"/>
          <w:sz w:val="20"/>
          <w:szCs w:val="20"/>
        </w:rPr>
        <w:t xml:space="preserve"> Task3</w:t>
      </w:r>
      <w:r w:rsidR="00BD42C2" w:rsidRPr="001E29CE">
        <w:rPr>
          <w:rFonts w:ascii="Verdana" w:hAnsi="Verdana"/>
          <w:b/>
          <w:bCs/>
          <w:color w:val="FF0000"/>
          <w:sz w:val="20"/>
          <w:szCs w:val="20"/>
        </w:rPr>
        <w:t xml:space="preserve"> PDF file</w:t>
      </w:r>
      <w:r w:rsidR="002C7E0E" w:rsidRPr="001E29CE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14:paraId="0102463E" w14:textId="4AE9DA84" w:rsidR="00DE49AE" w:rsidRDefault="00960785" w:rsidP="0083265D">
      <w:pPr>
        <w:rPr>
          <w:rFonts w:ascii="Verdana" w:hAnsi="Verdana"/>
          <w:b/>
          <w:sz w:val="20"/>
          <w:szCs w:val="20"/>
        </w:rPr>
      </w:pPr>
      <w:r w:rsidRPr="00506E7F">
        <w:rPr>
          <w:rFonts w:ascii="Verdana" w:hAnsi="Verdana"/>
          <w:b/>
          <w:sz w:val="20"/>
          <w:szCs w:val="20"/>
        </w:rPr>
        <w:t xml:space="preserve">C1. </w:t>
      </w:r>
      <w:r w:rsidR="0083265D" w:rsidRPr="00506E7F">
        <w:rPr>
          <w:rFonts w:ascii="Verdana" w:hAnsi="Verdana"/>
          <w:b/>
          <w:sz w:val="20"/>
          <w:szCs w:val="20"/>
        </w:rPr>
        <w:t>Ea</w:t>
      </w:r>
      <w:r w:rsidR="00DE49AE" w:rsidRPr="00506E7F">
        <w:rPr>
          <w:rFonts w:ascii="Verdana" w:hAnsi="Verdana"/>
          <w:b/>
          <w:sz w:val="20"/>
          <w:szCs w:val="20"/>
        </w:rPr>
        <w:t>rned Value Analysis</w:t>
      </w:r>
    </w:p>
    <w:p w14:paraId="0870DE23" w14:textId="362109F1" w:rsidR="007A5024" w:rsidRPr="0086071A" w:rsidRDefault="001E29CE" w:rsidP="0083265D">
      <w:pPr>
        <w:rPr>
          <w:rFonts w:ascii="Verdana" w:hAnsi="Verdana"/>
          <w:b/>
          <w:color w:val="FF0000"/>
          <w:sz w:val="20"/>
          <w:szCs w:val="20"/>
        </w:rPr>
      </w:pPr>
      <w:r w:rsidRPr="0086071A">
        <w:rPr>
          <w:rFonts w:ascii="Verdana" w:hAnsi="Verdana"/>
          <w:b/>
          <w:color w:val="FF0000"/>
          <w:sz w:val="20"/>
          <w:szCs w:val="20"/>
        </w:rPr>
        <w:t xml:space="preserve">Please see file upload for Excel </w:t>
      </w:r>
      <w:r w:rsidR="0086071A" w:rsidRPr="0086071A">
        <w:rPr>
          <w:rFonts w:ascii="Verdana" w:hAnsi="Verdana"/>
          <w:b/>
          <w:color w:val="FF0000"/>
          <w:sz w:val="20"/>
          <w:szCs w:val="20"/>
        </w:rPr>
        <w:t>file (Earned Value Analysis Task 3</w:t>
      </w:r>
      <w:r w:rsidR="0021161F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755706">
        <w:rPr>
          <w:rFonts w:ascii="Verdana" w:hAnsi="Verdana"/>
          <w:b/>
          <w:color w:val="FF0000"/>
          <w:sz w:val="20"/>
          <w:szCs w:val="20"/>
        </w:rPr>
        <w:t>–</w:t>
      </w:r>
      <w:r w:rsidR="0021161F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755706">
        <w:rPr>
          <w:rFonts w:ascii="Verdana" w:hAnsi="Verdana"/>
          <w:b/>
          <w:color w:val="FF0000"/>
          <w:sz w:val="20"/>
          <w:szCs w:val="20"/>
        </w:rPr>
        <w:t xml:space="preserve">see </w:t>
      </w:r>
      <w:r w:rsidR="00607F22">
        <w:rPr>
          <w:rFonts w:ascii="Verdana" w:hAnsi="Verdana"/>
          <w:b/>
          <w:color w:val="FF0000"/>
          <w:sz w:val="20"/>
          <w:szCs w:val="20"/>
        </w:rPr>
        <w:t>sheet tab C1</w:t>
      </w:r>
      <w:r w:rsidR="0086071A" w:rsidRPr="0086071A">
        <w:rPr>
          <w:rFonts w:ascii="Verdana" w:hAnsi="Verdana"/>
          <w:b/>
          <w:color w:val="FF0000"/>
          <w:sz w:val="20"/>
          <w:szCs w:val="20"/>
        </w:rPr>
        <w:t>)</w:t>
      </w:r>
    </w:p>
    <w:p w14:paraId="3031CB2C" w14:textId="77777777" w:rsidR="007A5024" w:rsidRPr="00DE49AE" w:rsidRDefault="007A5024" w:rsidP="0083265D">
      <w:pPr>
        <w:rPr>
          <w:rFonts w:ascii="Verdana" w:hAnsi="Verdana"/>
          <w:b/>
          <w:sz w:val="20"/>
          <w:szCs w:val="20"/>
        </w:rPr>
      </w:pP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E49AE" w:rsidRPr="00224BCD" w14:paraId="6301522F" w14:textId="77777777" w:rsidTr="0083265D">
        <w:trPr>
          <w:cantSplit/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D7C42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Team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D19B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EV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269C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AC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1FD1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PV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9530B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CV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96B9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CPI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2D38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SV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59A68" w14:textId="77777777" w:rsidR="00DE49AE" w:rsidRPr="00224BC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SPI</w:t>
            </w:r>
          </w:p>
        </w:tc>
      </w:tr>
      <w:tr w:rsidR="00DE49AE" w:rsidRPr="00DE49AE" w14:paraId="4F1FC48C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ABD13" w14:textId="79ACD97E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94403F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Patel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603D" w14:textId="7EAA532A" w:rsidR="00DE49AE" w:rsidRPr="0083265D" w:rsidRDefault="00767CBD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94403F">
              <w:rPr>
                <w:rFonts w:ascii="Verdana" w:hAnsi="Verdana"/>
                <w:bCs/>
                <w:sz w:val="16"/>
                <w:szCs w:val="16"/>
              </w:rPr>
              <w:t>8</w:t>
            </w:r>
            <w:r w:rsidR="00F53477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94403F">
              <w:rPr>
                <w:rFonts w:ascii="Verdana" w:hAnsi="Verdana"/>
                <w:bCs/>
                <w:sz w:val="16"/>
                <w:szCs w:val="16"/>
              </w:rPr>
              <w:t>400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CD1F0" w14:textId="6B9E8922" w:rsidR="00DE49AE" w:rsidRPr="0083265D" w:rsidRDefault="00F5347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CE18A6">
              <w:rPr>
                <w:rFonts w:ascii="Verdana" w:hAnsi="Verdana"/>
                <w:bCs/>
                <w:sz w:val="16"/>
                <w:szCs w:val="16"/>
              </w:rPr>
              <w:t>9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CE18A6">
              <w:rPr>
                <w:rFonts w:ascii="Verdana" w:hAnsi="Verdana"/>
                <w:bCs/>
                <w:sz w:val="16"/>
                <w:szCs w:val="16"/>
              </w:rPr>
              <w:t>150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AC7F" w14:textId="5F232217" w:rsidR="00DE49AE" w:rsidRPr="0083265D" w:rsidRDefault="00F5347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CE18A6">
              <w:rPr>
                <w:rFonts w:ascii="Verdana" w:hAnsi="Verdana"/>
                <w:bCs/>
                <w:sz w:val="16"/>
                <w:szCs w:val="16"/>
              </w:rPr>
              <w:t>8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CE18A6">
              <w:rPr>
                <w:rFonts w:ascii="Verdana" w:hAnsi="Verdana"/>
                <w:bCs/>
                <w:sz w:val="16"/>
                <w:szCs w:val="16"/>
              </w:rPr>
              <w:t>400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C427B" w14:textId="3219EBB6" w:rsidR="00DE49AE" w:rsidRPr="0083265D" w:rsidRDefault="00CE18A6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3353A">
              <w:rPr>
                <w:rFonts w:ascii="Verdana" w:hAnsi="Verdana"/>
                <w:bCs/>
                <w:color w:val="FF0000"/>
                <w:sz w:val="16"/>
                <w:szCs w:val="16"/>
              </w:rPr>
              <w:t>(</w:t>
            </w:r>
            <w:r w:rsidR="0063353A" w:rsidRPr="0063353A">
              <w:rPr>
                <w:rFonts w:ascii="Verdana" w:hAnsi="Verdana"/>
                <w:bCs/>
                <w:color w:val="FF0000"/>
                <w:sz w:val="16"/>
                <w:szCs w:val="16"/>
              </w:rPr>
              <w:t>$</w:t>
            </w:r>
            <w:r w:rsidR="004D6415" w:rsidRPr="0063353A">
              <w:rPr>
                <w:rFonts w:ascii="Verdana" w:hAnsi="Verdana"/>
                <w:bCs/>
                <w:color w:val="FF0000"/>
                <w:sz w:val="16"/>
                <w:szCs w:val="16"/>
              </w:rPr>
              <w:t>750)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20F4" w14:textId="0D6A28F3" w:rsidR="00DE49AE" w:rsidRPr="0083265D" w:rsidRDefault="004D6415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0.92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01A4A" w14:textId="04B53FDC" w:rsidR="00DE49AE" w:rsidRPr="0083265D" w:rsidRDefault="004D6415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7573" w14:textId="626AF3DA" w:rsidR="00DE49AE" w:rsidRPr="0083265D" w:rsidRDefault="004D6415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1.00</w:t>
            </w:r>
          </w:p>
        </w:tc>
      </w:tr>
      <w:tr w:rsidR="00DE49AE" w:rsidRPr="00DE49AE" w14:paraId="0534FE18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40DC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203E8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CA8F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B8CE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8A2E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F47D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3287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3594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730901A9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9783" w14:textId="004F6FC8" w:rsidR="00DE49AE" w:rsidRPr="0083265D" w:rsidRDefault="00C225D4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Miller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70A8" w14:textId="1448C121" w:rsidR="00DE49AE" w:rsidRPr="0083265D" w:rsidRDefault="0063353A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C225D4">
              <w:rPr>
                <w:rFonts w:ascii="Verdana" w:hAnsi="Verdana"/>
                <w:bCs/>
                <w:sz w:val="16"/>
                <w:szCs w:val="16"/>
              </w:rPr>
              <w:t>6</w:t>
            </w:r>
            <w:r w:rsidR="00B23F99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C225D4">
              <w:rPr>
                <w:rFonts w:ascii="Verdana" w:hAnsi="Verdana"/>
                <w:bCs/>
                <w:sz w:val="16"/>
                <w:szCs w:val="16"/>
              </w:rPr>
              <w:t>264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F9E5E" w14:textId="4817D3B4" w:rsidR="00DE49AE" w:rsidRPr="0083265D" w:rsidRDefault="00B23F99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C225D4">
              <w:rPr>
                <w:rFonts w:ascii="Verdana" w:hAnsi="Verdana"/>
                <w:bCs/>
                <w:sz w:val="16"/>
                <w:szCs w:val="16"/>
              </w:rPr>
              <w:t>7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C225D4">
              <w:rPr>
                <w:rFonts w:ascii="Verdana" w:hAnsi="Verdana"/>
                <w:bCs/>
                <w:sz w:val="16"/>
                <w:szCs w:val="16"/>
              </w:rPr>
              <w:t>4</w:t>
            </w:r>
            <w:r w:rsidR="00282610">
              <w:rPr>
                <w:rFonts w:ascii="Verdana" w:hAnsi="Verdana"/>
                <w:bCs/>
                <w:sz w:val="16"/>
                <w:szCs w:val="16"/>
              </w:rPr>
              <w:t>25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B64F8" w14:textId="4203A949" w:rsidR="00DE49AE" w:rsidRPr="0083265D" w:rsidRDefault="00F16872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$7,200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82B7" w14:textId="353F2603" w:rsidR="00DE49AE" w:rsidRPr="0083265D" w:rsidRDefault="002C265F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23F99">
              <w:rPr>
                <w:rFonts w:ascii="Verdana" w:hAnsi="Verdana"/>
                <w:bCs/>
                <w:color w:val="FF0000"/>
                <w:sz w:val="16"/>
                <w:szCs w:val="16"/>
              </w:rPr>
              <w:t>(</w:t>
            </w:r>
            <w:r w:rsidR="00B23F99" w:rsidRPr="00B23F99">
              <w:rPr>
                <w:rFonts w:ascii="Verdana" w:hAnsi="Verdana"/>
                <w:bCs/>
                <w:color w:val="FF0000"/>
                <w:sz w:val="16"/>
                <w:szCs w:val="16"/>
              </w:rPr>
              <w:t>$</w:t>
            </w:r>
            <w:r w:rsidRPr="00B23F99">
              <w:rPr>
                <w:rFonts w:ascii="Verdana" w:hAnsi="Verdana"/>
                <w:bCs/>
                <w:color w:val="FF0000"/>
                <w:sz w:val="16"/>
                <w:szCs w:val="16"/>
              </w:rPr>
              <w:t>1</w:t>
            </w:r>
            <w:r w:rsidR="00B23F99" w:rsidRPr="00B23F99">
              <w:rPr>
                <w:rFonts w:ascii="Verdana" w:hAnsi="Verdana"/>
                <w:bCs/>
                <w:color w:val="FF0000"/>
                <w:sz w:val="16"/>
                <w:szCs w:val="16"/>
              </w:rPr>
              <w:t>,</w:t>
            </w:r>
            <w:r w:rsidRPr="00B23F99">
              <w:rPr>
                <w:rFonts w:ascii="Verdana" w:hAnsi="Verdana"/>
                <w:bCs/>
                <w:color w:val="FF0000"/>
                <w:sz w:val="16"/>
                <w:szCs w:val="16"/>
              </w:rPr>
              <w:t>161)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C93CC" w14:textId="6FD8BCD4" w:rsidR="00DE49AE" w:rsidRPr="0083265D" w:rsidRDefault="00362F4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F9D6" w14:textId="76D64D8E" w:rsidR="00DE49AE" w:rsidRPr="0083265D" w:rsidRDefault="00075CE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($936)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362FB" w14:textId="26B80CCE" w:rsidR="00DE49AE" w:rsidRPr="0083265D" w:rsidRDefault="00B537AD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0.87</w:t>
            </w:r>
          </w:p>
        </w:tc>
      </w:tr>
      <w:tr w:rsidR="00DE49AE" w:rsidRPr="00DE49AE" w14:paraId="25762412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19F5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B8D13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7FE705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E91D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DDBF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B898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8369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244C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40B10459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97D6" w14:textId="22128311" w:rsidR="00DE49AE" w:rsidRPr="0083265D" w:rsidRDefault="006D4DE0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Johnson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C9A7" w14:textId="5D2B601F" w:rsidR="00DE49AE" w:rsidRPr="0083265D" w:rsidRDefault="00867A0A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6D4DE0">
              <w:rPr>
                <w:rFonts w:ascii="Verdana" w:hAnsi="Verdana"/>
                <w:bCs/>
                <w:sz w:val="16"/>
                <w:szCs w:val="16"/>
              </w:rPr>
              <w:t>1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6D4DE0">
              <w:rPr>
                <w:rFonts w:ascii="Verdana" w:hAnsi="Verdana"/>
                <w:bCs/>
                <w:sz w:val="16"/>
                <w:szCs w:val="16"/>
              </w:rPr>
              <w:t>242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FEE80" w14:textId="1DEE111B" w:rsidR="00DE49AE" w:rsidRPr="0083265D" w:rsidRDefault="006633D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6D4DE0">
              <w:rPr>
                <w:rFonts w:ascii="Verdana" w:hAnsi="Verdana"/>
                <w:bCs/>
                <w:sz w:val="16"/>
                <w:szCs w:val="16"/>
              </w:rPr>
              <w:t>1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6D4DE0">
              <w:rPr>
                <w:rFonts w:ascii="Verdana" w:hAnsi="Verdana"/>
                <w:bCs/>
                <w:sz w:val="16"/>
                <w:szCs w:val="16"/>
              </w:rPr>
              <w:t>200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D6E61" w14:textId="3582D1D2" w:rsidR="00DE49AE" w:rsidRPr="0083265D" w:rsidRDefault="003202FB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3202FB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$1,294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CD3" w14:textId="511303D0" w:rsidR="00DE49AE" w:rsidRPr="0083265D" w:rsidRDefault="006633D7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6D4DE0">
              <w:rPr>
                <w:rFonts w:ascii="Verdana" w:hAnsi="Verdana"/>
                <w:bCs/>
                <w:sz w:val="16"/>
                <w:szCs w:val="16"/>
              </w:rPr>
              <w:t>42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DF78" w14:textId="7C82F6ED" w:rsidR="00DE49AE" w:rsidRPr="0083265D" w:rsidRDefault="006D4DE0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1.04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F01C" w14:textId="56BA5520" w:rsidR="00DE49AE" w:rsidRPr="0083265D" w:rsidRDefault="00B40F72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EE4D53">
              <w:rPr>
                <w:rFonts w:ascii="Verdana" w:hAnsi="Verdana"/>
                <w:bCs/>
                <w:sz w:val="16"/>
                <w:szCs w:val="16"/>
                <w:highlight w:val="yellow"/>
              </w:rPr>
              <w:t>($</w:t>
            </w:r>
            <w:r w:rsidR="003202FB">
              <w:rPr>
                <w:rFonts w:ascii="Verdana" w:hAnsi="Verdana"/>
                <w:bCs/>
                <w:sz w:val="16"/>
                <w:szCs w:val="16"/>
                <w:highlight w:val="yellow"/>
              </w:rPr>
              <w:t>52</w:t>
            </w:r>
            <w:r w:rsidRPr="00EE4D53">
              <w:rPr>
                <w:rFonts w:ascii="Verdana" w:hAnsi="Verdana"/>
                <w:bCs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A4334" w14:textId="2A54386A" w:rsidR="00DE49AE" w:rsidRPr="00EE4D53" w:rsidRDefault="00B40F72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</w:pPr>
            <w:r w:rsidRPr="00EE4D53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0.</w:t>
            </w:r>
            <w:r w:rsidR="001C5EC6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96</w:t>
            </w:r>
          </w:p>
        </w:tc>
      </w:tr>
      <w:tr w:rsidR="00DE49AE" w:rsidRPr="00DE49AE" w14:paraId="66C2CD1F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097E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92D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2195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36F36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E121A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9651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7B736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C71B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4776DA2B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40A15" w14:textId="4C14AB73" w:rsidR="00DE49AE" w:rsidRPr="0083265D" w:rsidRDefault="00106F0F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Phan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3B013" w14:textId="1A3763E0" w:rsidR="00DE49AE" w:rsidRPr="0083265D" w:rsidRDefault="00147D2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106F0F">
              <w:rPr>
                <w:rFonts w:ascii="Verdana" w:hAnsi="Verdana"/>
                <w:bCs/>
                <w:sz w:val="16"/>
                <w:szCs w:val="16"/>
              </w:rPr>
              <w:t>2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106F0F">
              <w:rPr>
                <w:rFonts w:ascii="Verdana" w:hAnsi="Verdana"/>
                <w:bCs/>
                <w:sz w:val="16"/>
                <w:szCs w:val="16"/>
              </w:rPr>
              <w:t>670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D10C" w14:textId="64C4616B" w:rsidR="00DE49AE" w:rsidRPr="0083265D" w:rsidRDefault="00147D2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$2,400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E94DA" w14:textId="526029CA" w:rsidR="00DE49AE" w:rsidRPr="001C5EC6" w:rsidRDefault="0003747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</w:pPr>
            <w:r w:rsidRPr="001C5EC6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</w:t>
            </w:r>
            <w:r w:rsidR="001C5EC6" w:rsidRPr="001C5EC6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1,369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1A5A" w14:textId="1E74D3AF" w:rsidR="00DE49AE" w:rsidRPr="0083265D" w:rsidRDefault="0013036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$270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E083" w14:textId="2249A8C3" w:rsidR="00DE49AE" w:rsidRPr="0083265D" w:rsidRDefault="0013036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1.11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DE672" w14:textId="37F1FA18" w:rsidR="00DE49AE" w:rsidRPr="003F3139" w:rsidRDefault="003F3139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</w:pPr>
            <w:r w:rsidRPr="003F313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$1.301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699F" w14:textId="7A8F1A6D" w:rsidR="00DE49AE" w:rsidRPr="00BB68DA" w:rsidRDefault="003F3139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1.95</w:t>
            </w:r>
          </w:p>
        </w:tc>
      </w:tr>
      <w:tr w:rsidR="00DE49AE" w:rsidRPr="00DE49AE" w14:paraId="1350962B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C828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960BF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14D17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72CB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A6B2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BC88F5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F132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E3AC0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3A1634ED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AEDD" w14:textId="6A71BA3D" w:rsidR="00DE49AE" w:rsidRPr="0083265D" w:rsidRDefault="0097223C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Thomas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A1373" w14:textId="0002F38A" w:rsidR="00DE49AE" w:rsidRPr="0083265D" w:rsidRDefault="004977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90155" w14:textId="66B5C21A" w:rsidR="00DE49AE" w:rsidRPr="0083265D" w:rsidRDefault="004977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22ED" w14:textId="491BFAB8" w:rsidR="00DE49AE" w:rsidRPr="00BB68DA" w:rsidRDefault="00273206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68DA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</w:t>
            </w:r>
            <w:r w:rsidR="00FC7DB5" w:rsidRPr="00BB68DA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9A1E" w14:textId="02DC793E" w:rsidR="00DE49AE" w:rsidRPr="0083265D" w:rsidRDefault="004977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A3755" w14:textId="02EE8481" w:rsidR="00DE49AE" w:rsidRPr="0083265D" w:rsidRDefault="004977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87D3" w14:textId="658336EA" w:rsidR="00DE49AE" w:rsidRPr="00BB68DA" w:rsidRDefault="00FC7DB5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68DA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CA296" w14:textId="185F57F5" w:rsidR="00DE49AE" w:rsidRPr="00BB68DA" w:rsidRDefault="004977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68DA">
              <w:rPr>
                <w:rFonts w:ascii="Verdana" w:hAnsi="Verdana"/>
                <w:bCs/>
                <w:sz w:val="16"/>
                <w:szCs w:val="16"/>
              </w:rPr>
              <w:t>0</w:t>
            </w:r>
          </w:p>
        </w:tc>
      </w:tr>
      <w:tr w:rsidR="00DE49AE" w:rsidRPr="00DE49AE" w14:paraId="41EEF59C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9392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314F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91D1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E691B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2F18B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95F4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9E5D7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32CEA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300D3E4A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12B08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7EB6" w14:textId="76285D96" w:rsidR="00DE49AE" w:rsidRPr="0083265D" w:rsidRDefault="00803E71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603092">
              <w:rPr>
                <w:rFonts w:ascii="Verdana" w:hAnsi="Verdana"/>
                <w:bCs/>
                <w:sz w:val="16"/>
                <w:szCs w:val="16"/>
              </w:rPr>
              <w:t>18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603092">
              <w:rPr>
                <w:rFonts w:ascii="Verdana" w:hAnsi="Verdana"/>
                <w:bCs/>
                <w:sz w:val="16"/>
                <w:szCs w:val="16"/>
              </w:rPr>
              <w:t>576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5FDC9" w14:textId="59808CAE" w:rsidR="00DE49AE" w:rsidRPr="0083265D" w:rsidRDefault="00803E71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3212F4">
              <w:rPr>
                <w:rFonts w:ascii="Verdana" w:hAnsi="Verdana"/>
                <w:bCs/>
                <w:sz w:val="16"/>
                <w:szCs w:val="16"/>
              </w:rPr>
              <w:t>20</w:t>
            </w:r>
            <w:r w:rsidR="006C1093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775438">
              <w:rPr>
                <w:rFonts w:ascii="Verdana" w:hAnsi="Verdana"/>
                <w:bCs/>
                <w:sz w:val="16"/>
                <w:szCs w:val="16"/>
              </w:rPr>
              <w:t>175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D08D" w14:textId="18354B35" w:rsidR="00DE49AE" w:rsidRPr="0083265D" w:rsidRDefault="00CF5603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108A3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</w:t>
            </w:r>
            <w:r w:rsidR="002A78C4" w:rsidRPr="006108A3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18,263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8479" w14:textId="5FAFFDBA" w:rsidR="00DE49AE" w:rsidRPr="0083265D" w:rsidRDefault="003212F4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C1093">
              <w:rPr>
                <w:rFonts w:ascii="Verdana" w:hAnsi="Verdana"/>
                <w:bCs/>
                <w:color w:val="FF0000"/>
                <w:sz w:val="16"/>
                <w:szCs w:val="16"/>
              </w:rPr>
              <w:t>(</w:t>
            </w:r>
            <w:r w:rsidR="006C1093" w:rsidRPr="006C1093">
              <w:rPr>
                <w:rFonts w:ascii="Verdana" w:hAnsi="Verdana"/>
                <w:bCs/>
                <w:color w:val="FF0000"/>
                <w:sz w:val="16"/>
                <w:szCs w:val="16"/>
              </w:rPr>
              <w:t>$</w:t>
            </w:r>
            <w:r w:rsidRPr="006C1093">
              <w:rPr>
                <w:rFonts w:ascii="Verdana" w:hAnsi="Verdana"/>
                <w:bCs/>
                <w:color w:val="FF0000"/>
                <w:sz w:val="16"/>
                <w:szCs w:val="16"/>
              </w:rPr>
              <w:t>1</w:t>
            </w:r>
            <w:r w:rsidR="006C1093" w:rsidRPr="006C1093">
              <w:rPr>
                <w:rFonts w:ascii="Verdana" w:hAnsi="Verdana"/>
                <w:bCs/>
                <w:color w:val="FF0000"/>
                <w:sz w:val="16"/>
                <w:szCs w:val="16"/>
              </w:rPr>
              <w:t>,</w:t>
            </w:r>
            <w:r w:rsidRPr="006C1093">
              <w:rPr>
                <w:rFonts w:ascii="Verdana" w:hAnsi="Verdana"/>
                <w:bCs/>
                <w:color w:val="FF0000"/>
                <w:sz w:val="16"/>
                <w:szCs w:val="16"/>
              </w:rPr>
              <w:t>599)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C1DD" w14:textId="5DC69384" w:rsidR="00DE49AE" w:rsidRPr="0083265D" w:rsidRDefault="003212F4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0.78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6260E" w14:textId="4E0729A2" w:rsidR="00DE49AE" w:rsidRPr="0083265D" w:rsidRDefault="00D271EB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108A3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$313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EE112" w14:textId="5D1BFBD8" w:rsidR="00DE49AE" w:rsidRPr="007010DF" w:rsidRDefault="0004125F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</w:pPr>
            <w:r w:rsidRPr="007010DF">
              <w:rPr>
                <w:rFonts w:ascii="Verdana" w:hAnsi="Verdana"/>
                <w:bCs/>
                <w:sz w:val="16"/>
                <w:szCs w:val="16"/>
                <w:highlight w:val="yellow"/>
              </w:rPr>
              <w:t>0.</w:t>
            </w:r>
            <w:r w:rsidR="006108A3">
              <w:rPr>
                <w:rFonts w:ascii="Verdana" w:hAnsi="Verdana"/>
                <w:bCs/>
                <w:sz w:val="16"/>
                <w:szCs w:val="16"/>
                <w:highlight w:val="yellow"/>
              </w:rPr>
              <w:t>96</w:t>
            </w:r>
          </w:p>
        </w:tc>
      </w:tr>
      <w:tr w:rsidR="00DE49AE" w:rsidRPr="00DE49AE" w14:paraId="16058AAE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B730E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98F3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8147C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6BB4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B71A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3EBDB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1C28BF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3E85A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</w:tbl>
    <w:p w14:paraId="6DA601B6" w14:textId="77777777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p w14:paraId="149C8E6B" w14:textId="1AC9593E" w:rsidR="00DE49AE" w:rsidRDefault="00960785" w:rsidP="0083265D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C2. </w:t>
      </w:r>
      <w:r w:rsidR="00DE49AE" w:rsidRPr="00DE49AE">
        <w:rPr>
          <w:rFonts w:ascii="Verdana" w:hAnsi="Verdana"/>
          <w:b/>
          <w:sz w:val="20"/>
          <w:szCs w:val="20"/>
        </w:rPr>
        <w:t>Earned Value Projections</w:t>
      </w:r>
    </w:p>
    <w:p w14:paraId="3BD74185" w14:textId="2CE3A782" w:rsidR="00371358" w:rsidRPr="0086071A" w:rsidRDefault="000E6A99" w:rsidP="00371358">
      <w:pPr>
        <w:rPr>
          <w:rFonts w:ascii="Verdana" w:hAnsi="Verdana"/>
          <w:b/>
          <w:color w:val="FF0000"/>
          <w:sz w:val="20"/>
          <w:szCs w:val="20"/>
        </w:rPr>
      </w:pPr>
      <w:r w:rsidRPr="0086071A">
        <w:rPr>
          <w:rFonts w:ascii="Verdana" w:hAnsi="Verdana"/>
          <w:b/>
          <w:color w:val="FF0000"/>
          <w:sz w:val="20"/>
          <w:szCs w:val="20"/>
        </w:rPr>
        <w:t>Please see file upload for Excel file (Earned Value Analysis Task 3</w:t>
      </w:r>
      <w:r w:rsidR="00371358">
        <w:rPr>
          <w:rFonts w:ascii="Verdana" w:hAnsi="Verdana"/>
          <w:b/>
          <w:color w:val="FF0000"/>
          <w:sz w:val="20"/>
          <w:szCs w:val="20"/>
        </w:rPr>
        <w:t xml:space="preserve"> – see sheet tab C2</w:t>
      </w:r>
      <w:r w:rsidR="00371358" w:rsidRPr="0086071A">
        <w:rPr>
          <w:rFonts w:ascii="Verdana" w:hAnsi="Verdana"/>
          <w:b/>
          <w:color w:val="FF0000"/>
          <w:sz w:val="20"/>
          <w:szCs w:val="20"/>
        </w:rPr>
        <w:t>)</w:t>
      </w:r>
    </w:p>
    <w:p w14:paraId="39715732" w14:textId="5A24C582" w:rsidR="000E6A99" w:rsidRPr="000E6A99" w:rsidRDefault="000E6A99" w:rsidP="000E6A99">
      <w:pPr>
        <w:rPr>
          <w:rFonts w:ascii="Verdana" w:hAnsi="Verdana"/>
          <w:b/>
          <w:color w:val="FF0000"/>
          <w:sz w:val="20"/>
          <w:szCs w:val="20"/>
        </w:rPr>
      </w:pP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710"/>
        <w:gridCol w:w="1620"/>
        <w:gridCol w:w="1710"/>
        <w:gridCol w:w="1890"/>
        <w:gridCol w:w="2430"/>
      </w:tblGrid>
      <w:tr w:rsidR="00D70B4B" w:rsidRPr="00DE49AE" w14:paraId="6EF42094" w14:textId="77777777" w:rsidTr="00B02BA8">
        <w:trPr>
          <w:cantSplit/>
          <w:trHeight w:val="31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675E" w14:textId="77777777" w:rsidR="00D70B4B" w:rsidRPr="00224BC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Team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A6D46" w14:textId="77777777" w:rsidR="00D70B4B" w:rsidRPr="00224BC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EAC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CE06" w14:textId="77777777" w:rsidR="00D70B4B" w:rsidRPr="00224BC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ETC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2B3D8" w14:textId="77777777" w:rsidR="00D70B4B" w:rsidRPr="00224BC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Est. Dur.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A3304" w14:textId="77777777" w:rsidR="00D70B4B" w:rsidRPr="00224BC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</w:pPr>
            <w:r w:rsidRPr="00224BCD">
              <w:rPr>
                <w:rFonts w:ascii="Verdana" w:eastAsia="Times New Roman" w:hAnsi="Verdana" w:cs="Calibri"/>
                <w:color w:val="000000"/>
                <w:sz w:val="20"/>
                <w:szCs w:val="20"/>
                <w:highlight w:val="yellow"/>
              </w:rPr>
              <w:t>Est. Completion Date</w:t>
            </w:r>
          </w:p>
        </w:tc>
      </w:tr>
      <w:tr w:rsidR="00D70B4B" w:rsidRPr="00DE49AE" w14:paraId="4FD355AE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BEFC" w14:textId="4832D120" w:rsidR="00D70B4B" w:rsidRPr="0083265D" w:rsidRDefault="00CF3AF7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Patel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58EB4" w14:textId="15AC9913" w:rsidR="00D70B4B" w:rsidRPr="0083265D" w:rsidRDefault="007B04A5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$9,130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8254" w14:textId="7CC7522A" w:rsidR="00D70B4B" w:rsidRPr="0083265D" w:rsidRDefault="007B04A5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7B04A5">
              <w:rPr>
                <w:rFonts w:ascii="Verdana" w:hAnsi="Verdana"/>
                <w:bCs/>
                <w:color w:val="FF0000"/>
                <w:sz w:val="16"/>
                <w:szCs w:val="16"/>
              </w:rPr>
              <w:t>($20)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4C2C9" w14:textId="5B450103" w:rsidR="00D70B4B" w:rsidRPr="0083265D" w:rsidRDefault="00C37B13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98303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4C91" w14:textId="1BCDE14A" w:rsidR="00D70B4B" w:rsidRPr="0083265D" w:rsidRDefault="008C30CE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07/14/2021</w:t>
            </w:r>
          </w:p>
        </w:tc>
      </w:tr>
      <w:tr w:rsidR="00D70B4B" w:rsidRPr="00DE49AE" w14:paraId="3AA5350F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AC98D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32227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21CCA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75D6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81BF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DF6E2A2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5CFC" w14:textId="011425E9" w:rsidR="00D70B4B" w:rsidRPr="0083265D" w:rsidRDefault="009E429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Miller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2CE7" w14:textId="11640537" w:rsidR="00D70B4B" w:rsidRPr="0083265D" w:rsidRDefault="009E429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$12,857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6F69" w14:textId="576C955C" w:rsidR="00D70B4B" w:rsidRPr="0083265D" w:rsidRDefault="009E429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$5,432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F2A7" w14:textId="4DE17929" w:rsidR="00923537" w:rsidRPr="00D82990" w:rsidRDefault="00C37B13" w:rsidP="00D8299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98303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21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AC88" w14:textId="6937E3CF" w:rsidR="00D70B4B" w:rsidRPr="0083265D" w:rsidRDefault="009F0FF5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07/2</w:t>
            </w:r>
            <w:r w:rsidR="007C6BA4"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8</w:t>
            </w: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/2021</w:t>
            </w:r>
          </w:p>
        </w:tc>
      </w:tr>
      <w:tr w:rsidR="00D70B4B" w:rsidRPr="00DE49AE" w14:paraId="66443CA4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112D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C2EC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B410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9FD2F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2DFE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0721AEE9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415C" w14:textId="01E083D0" w:rsidR="00D70B4B" w:rsidRPr="0083265D" w:rsidRDefault="00BE08C6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Johnson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41D5" w14:textId="2B222467" w:rsidR="00D70B4B" w:rsidRPr="0083265D" w:rsidRDefault="00BE08C6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</w:t>
            </w:r>
            <w:r w:rsidR="009247AA">
              <w:rPr>
                <w:rFonts w:ascii="Verdana" w:hAnsi="Verdana"/>
                <w:bCs/>
                <w:sz w:val="16"/>
                <w:szCs w:val="16"/>
              </w:rPr>
              <w:t>19,808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794B" w14:textId="7C213786" w:rsidR="00D70B4B" w:rsidRPr="0083265D" w:rsidRDefault="00976011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$38,608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2843" w14:textId="77D8A66F" w:rsidR="00D70B4B" w:rsidRPr="0083265D" w:rsidRDefault="00C37B13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98303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67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0491E" w14:textId="75CCEAFF" w:rsidR="00D70B4B" w:rsidRPr="0083265D" w:rsidRDefault="009F0FF5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09/15/2021</w:t>
            </w:r>
          </w:p>
        </w:tc>
      </w:tr>
      <w:tr w:rsidR="00D70B4B" w:rsidRPr="00DE49AE" w14:paraId="33D32AAB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FDE29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AA99A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9699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3936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9B07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E76FF9A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C015" w14:textId="2377DEC7" w:rsidR="00D70B4B" w:rsidRPr="0083265D" w:rsidRDefault="00384AA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Phan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B6EE" w14:textId="10FFE4FC" w:rsidR="00D70B4B" w:rsidRPr="0083265D" w:rsidRDefault="00384AA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$48,108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7F03" w14:textId="66478298" w:rsidR="00D70B4B" w:rsidRPr="0083265D" w:rsidRDefault="00384AA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$45,708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8CD9D" w14:textId="4375797D" w:rsidR="00D70B4B" w:rsidRPr="00C670EE" w:rsidRDefault="00D70B4B" w:rsidP="00FA333F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</w:rPr>
            </w:pPr>
          </w:p>
          <w:p w14:paraId="35A8528F" w14:textId="39B551DE" w:rsidR="00923537" w:rsidRPr="0083265D" w:rsidRDefault="00983030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98303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40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01D5" w14:textId="463739FC" w:rsidR="00D70B4B" w:rsidRPr="0083265D" w:rsidRDefault="00A672F9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11/</w:t>
            </w:r>
            <w:r w:rsidR="0084441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3/</w:t>
            </w: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2021</w:t>
            </w:r>
          </w:p>
        </w:tc>
      </w:tr>
      <w:tr w:rsidR="00D70B4B" w:rsidRPr="00DE49AE" w14:paraId="38E8185B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88BC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6A95B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BE90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719F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B0412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31F1326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B3187" w14:textId="6E63CA32" w:rsidR="00D70B4B" w:rsidRPr="0083265D" w:rsidRDefault="008068AC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Thomas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7D30C" w14:textId="45709090" w:rsidR="00D70B4B" w:rsidRPr="0083265D" w:rsidRDefault="00252F55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</w:t>
            </w:r>
            <w:r w:rsidR="00513645"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</w:t>
            </w:r>
            <w:r w:rsidR="00742019" w:rsidRPr="00531FAC">
              <w:rPr>
                <w:rFonts w:ascii="Verdana" w:eastAsia="Times New Roman" w:hAnsi="Verdana" w:cs="Calibri"/>
                <w:color w:val="FF0000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4662" w14:textId="6EE9E990" w:rsidR="00D70B4B" w:rsidRPr="0083265D" w:rsidRDefault="001D25F8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$</w:t>
            </w:r>
            <w:r w:rsidR="00513645"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0</w:t>
            </w:r>
            <w:r w:rsidR="00060BCD" w:rsidRPr="00531FAC">
              <w:rPr>
                <w:rFonts w:ascii="Verdana" w:eastAsia="Times New Roman" w:hAnsi="Verdana" w:cs="Calibri"/>
                <w:color w:val="FF0000"/>
                <w:sz w:val="16"/>
                <w:szCs w:val="16"/>
                <w:highlight w:val="yellow"/>
              </w:rPr>
              <w:t>**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29548" w14:textId="0B959B8D" w:rsidR="00D70B4B" w:rsidRDefault="00D70B4B" w:rsidP="002D6435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</w:rPr>
            </w:pPr>
          </w:p>
          <w:p w14:paraId="0B90DAF9" w14:textId="700ACBD4" w:rsidR="002D6435" w:rsidRPr="00C670EE" w:rsidRDefault="002D6435" w:rsidP="002D6435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18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2CDE" w14:textId="44075CB9" w:rsidR="00D70B4B" w:rsidRPr="0083265D" w:rsidRDefault="00A672F9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10/1</w:t>
            </w:r>
            <w:r w:rsidR="006B654B"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1</w:t>
            </w:r>
            <w:r w:rsidRPr="00531FA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</w:rPr>
              <w:t>/2021</w:t>
            </w:r>
          </w:p>
        </w:tc>
      </w:tr>
      <w:tr w:rsidR="00D70B4B" w:rsidRPr="00DE49AE" w14:paraId="10647F44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E4BC2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D18B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AB42B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EC79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BA9F8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</w:tbl>
    <w:p w14:paraId="5599D984" w14:textId="3957173A" w:rsidR="00DE49AE" w:rsidRDefault="00DE49AE" w:rsidP="00DE49AE">
      <w:pPr>
        <w:rPr>
          <w:rFonts w:ascii="Verdana" w:hAnsi="Verdana"/>
          <w:sz w:val="20"/>
          <w:szCs w:val="20"/>
        </w:rPr>
      </w:pPr>
    </w:p>
    <w:p w14:paraId="5D22EE99" w14:textId="067FBD3C" w:rsidR="00D65A37" w:rsidRDefault="00F52884" w:rsidP="00DE49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*</w:t>
      </w:r>
      <w:r w:rsidR="00112E96" w:rsidRPr="003F2CE0">
        <w:rPr>
          <w:rFonts w:ascii="Verdana" w:hAnsi="Verdana"/>
          <w:color w:val="FF0000"/>
          <w:sz w:val="20"/>
          <w:szCs w:val="20"/>
        </w:rPr>
        <w:t>EAC</w:t>
      </w:r>
      <w:r w:rsidR="00A57D69" w:rsidRPr="003F2CE0">
        <w:rPr>
          <w:rFonts w:ascii="Verdana" w:hAnsi="Verdana"/>
          <w:color w:val="FF0000"/>
          <w:sz w:val="20"/>
          <w:szCs w:val="20"/>
        </w:rPr>
        <w:t xml:space="preserve"> – Estimate at completion</w:t>
      </w:r>
      <w:r w:rsidR="002E05D2">
        <w:rPr>
          <w:rFonts w:ascii="Verdana" w:hAnsi="Verdana"/>
          <w:color w:val="FF0000"/>
          <w:sz w:val="20"/>
          <w:szCs w:val="20"/>
        </w:rPr>
        <w:t xml:space="preserve"> </w:t>
      </w:r>
      <w:r w:rsidR="00395373">
        <w:rPr>
          <w:rFonts w:ascii="Verdana" w:hAnsi="Verdana"/>
          <w:color w:val="FF0000"/>
          <w:sz w:val="20"/>
          <w:szCs w:val="20"/>
        </w:rPr>
        <w:t>EAC = BAC/CPI</w:t>
      </w:r>
      <w:r w:rsidR="00F01B5A">
        <w:rPr>
          <w:rFonts w:ascii="Verdana" w:hAnsi="Verdana"/>
          <w:color w:val="FF0000"/>
          <w:sz w:val="20"/>
          <w:szCs w:val="20"/>
        </w:rPr>
        <w:t xml:space="preserve"> (Use this if CPI is expected to be the same for the remainder of the project)</w:t>
      </w:r>
      <w:r w:rsidR="00A57D69">
        <w:rPr>
          <w:rFonts w:ascii="Verdana" w:hAnsi="Verdana"/>
          <w:sz w:val="20"/>
          <w:szCs w:val="20"/>
        </w:rPr>
        <w:br/>
      </w:r>
      <w:r w:rsidR="0072186B">
        <w:rPr>
          <w:rFonts w:ascii="Verdana" w:hAnsi="Verdana"/>
          <w:sz w:val="20"/>
          <w:szCs w:val="20"/>
        </w:rPr>
        <w:t>This amount is currently expected to be spent by the end of the project</w:t>
      </w:r>
      <w:r w:rsidR="00F25916">
        <w:rPr>
          <w:rFonts w:ascii="Verdana" w:hAnsi="Verdana"/>
          <w:sz w:val="20"/>
          <w:szCs w:val="20"/>
        </w:rPr>
        <w:t xml:space="preserve"> which is an estimate.</w:t>
      </w:r>
    </w:p>
    <w:p w14:paraId="5B8E0E2F" w14:textId="56B0A40B" w:rsidR="00F25916" w:rsidRDefault="00060BCD" w:rsidP="00DE49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**</w:t>
      </w:r>
      <w:r w:rsidR="00F25916" w:rsidRPr="003F2CE0">
        <w:rPr>
          <w:rFonts w:ascii="Verdana" w:hAnsi="Verdana"/>
          <w:color w:val="FF0000"/>
          <w:sz w:val="20"/>
          <w:szCs w:val="20"/>
        </w:rPr>
        <w:t>ETC – Estimate to complete</w:t>
      </w:r>
      <w:r w:rsidR="0055271C">
        <w:rPr>
          <w:rFonts w:ascii="Verdana" w:hAnsi="Verdana"/>
          <w:color w:val="FF0000"/>
          <w:sz w:val="20"/>
          <w:szCs w:val="20"/>
        </w:rPr>
        <w:t xml:space="preserve"> </w:t>
      </w:r>
      <w:r w:rsidR="00720826">
        <w:rPr>
          <w:rFonts w:ascii="Verdana" w:hAnsi="Verdana"/>
          <w:color w:val="FF0000"/>
          <w:sz w:val="20"/>
          <w:szCs w:val="20"/>
        </w:rPr>
        <w:t>(</w:t>
      </w:r>
      <w:r w:rsidR="0055271C">
        <w:rPr>
          <w:rFonts w:ascii="Verdana" w:hAnsi="Verdana"/>
          <w:color w:val="FF0000"/>
          <w:sz w:val="20"/>
          <w:szCs w:val="20"/>
        </w:rPr>
        <w:t xml:space="preserve">ETC = </w:t>
      </w:r>
      <w:r w:rsidR="00720826">
        <w:rPr>
          <w:rFonts w:ascii="Verdana" w:hAnsi="Verdana"/>
          <w:color w:val="FF0000"/>
          <w:sz w:val="20"/>
          <w:szCs w:val="20"/>
        </w:rPr>
        <w:t>EAC – AC)</w:t>
      </w:r>
      <w:r w:rsidR="00F25916" w:rsidRPr="003F2CE0">
        <w:rPr>
          <w:rFonts w:ascii="Verdana" w:hAnsi="Verdana"/>
          <w:color w:val="FF0000"/>
          <w:sz w:val="20"/>
          <w:szCs w:val="20"/>
        </w:rPr>
        <w:br/>
      </w:r>
      <w:r w:rsidR="001C2A03">
        <w:rPr>
          <w:rFonts w:ascii="Verdana" w:hAnsi="Verdana"/>
          <w:sz w:val="20"/>
          <w:szCs w:val="20"/>
        </w:rPr>
        <w:t>This amount will determine how much will likely be spent to finish the project.</w:t>
      </w:r>
    </w:p>
    <w:p w14:paraId="745E7C3E" w14:textId="58777CB3" w:rsidR="00A42191" w:rsidRPr="00F12B71" w:rsidRDefault="00A42191" w:rsidP="00DE49AE">
      <w:pPr>
        <w:rPr>
          <w:rFonts w:ascii="Calibri" w:eastAsia="Times New Roman" w:hAnsi="Calibri" w:cs="Calibri"/>
          <w:color w:val="000000"/>
        </w:rPr>
      </w:pPr>
      <w:r w:rsidRPr="00EF1A20">
        <w:rPr>
          <w:rFonts w:ascii="Verdana" w:hAnsi="Verdana"/>
          <w:color w:val="FF0000"/>
          <w:sz w:val="20"/>
          <w:szCs w:val="20"/>
        </w:rPr>
        <w:t>Estimated Duration</w:t>
      </w:r>
      <w:r w:rsidR="009F3E13" w:rsidRPr="00F12B71">
        <w:rPr>
          <w:rFonts w:ascii="Calibri" w:eastAsia="Times New Roman" w:hAnsi="Calibri" w:cs="Calibri"/>
          <w:color w:val="FF0000"/>
        </w:rPr>
        <w:t xml:space="preserve"> = </w:t>
      </w:r>
      <w:r w:rsidR="00857CB1">
        <w:rPr>
          <w:rFonts w:ascii="Calibri" w:eastAsia="Times New Roman" w:hAnsi="Calibri" w:cs="Calibri"/>
          <w:color w:val="FF0000"/>
        </w:rPr>
        <w:t>(</w:t>
      </w:r>
      <w:r w:rsidR="009F3E13" w:rsidRPr="00F12B71">
        <w:rPr>
          <w:rFonts w:ascii="Calibri" w:eastAsia="Times New Roman" w:hAnsi="Calibri" w:cs="Calibri"/>
          <w:color w:val="FF0000"/>
        </w:rPr>
        <w:t>Planned Duration/SPI</w:t>
      </w:r>
      <w:r w:rsidR="00857CB1">
        <w:rPr>
          <w:rFonts w:ascii="Calibri" w:eastAsia="Times New Roman" w:hAnsi="Calibri" w:cs="Calibri"/>
          <w:color w:val="FF0000"/>
        </w:rPr>
        <w:t>)</w:t>
      </w:r>
      <w:r w:rsidR="009F3E13" w:rsidRPr="00F12B71">
        <w:rPr>
          <w:rFonts w:ascii="Calibri" w:eastAsia="Times New Roman" w:hAnsi="Calibri" w:cs="Calibri"/>
          <w:color w:val="FF0000"/>
        </w:rPr>
        <w:t xml:space="preserve"> (From Gantt Chart</w:t>
      </w:r>
      <w:r w:rsidR="00653ADE">
        <w:rPr>
          <w:rFonts w:ascii="Calibri" w:eastAsia="Times New Roman" w:hAnsi="Calibri" w:cs="Calibri"/>
          <w:color w:val="FF0000"/>
        </w:rPr>
        <w:t xml:space="preserve"> for Planned Duration</w:t>
      </w:r>
      <w:r w:rsidR="009F3E13" w:rsidRPr="00F12B71">
        <w:rPr>
          <w:rFonts w:ascii="Calibri" w:eastAsia="Times New Roman" w:hAnsi="Calibri" w:cs="Calibri"/>
          <w:color w:val="FF0000"/>
        </w:rPr>
        <w:t>)</w:t>
      </w:r>
      <w:r w:rsidR="008C5A76" w:rsidRPr="00F12B71">
        <w:rPr>
          <w:rFonts w:ascii="Verdana" w:hAnsi="Verdana"/>
          <w:color w:val="FF0000"/>
          <w:sz w:val="20"/>
          <w:szCs w:val="20"/>
        </w:rPr>
        <w:br/>
      </w:r>
      <w:r w:rsidR="008C5A76">
        <w:rPr>
          <w:rFonts w:ascii="Verdana" w:hAnsi="Verdana"/>
          <w:sz w:val="20"/>
          <w:szCs w:val="20"/>
        </w:rPr>
        <w:t xml:space="preserve">These are the </w:t>
      </w:r>
      <w:r w:rsidR="00EF1A20">
        <w:rPr>
          <w:rFonts w:ascii="Verdana" w:hAnsi="Verdana"/>
          <w:sz w:val="20"/>
          <w:szCs w:val="20"/>
        </w:rPr>
        <w:t>estimate number of days left to complete the project.</w:t>
      </w:r>
    </w:p>
    <w:p w14:paraId="3B116CF9" w14:textId="2F26F15E" w:rsidR="00EF1A20" w:rsidRPr="00DE49AE" w:rsidRDefault="00EF1A20" w:rsidP="00DE49AE">
      <w:pPr>
        <w:rPr>
          <w:rFonts w:ascii="Verdana" w:hAnsi="Verdana"/>
          <w:sz w:val="20"/>
          <w:szCs w:val="20"/>
        </w:rPr>
      </w:pPr>
      <w:r w:rsidRPr="001447CC">
        <w:rPr>
          <w:rFonts w:ascii="Verdana" w:hAnsi="Verdana"/>
          <w:color w:val="FF0000"/>
          <w:sz w:val="20"/>
          <w:szCs w:val="20"/>
        </w:rPr>
        <w:t>Estimated completion date</w:t>
      </w:r>
      <w:r w:rsidRPr="001447CC"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These</w:t>
      </w:r>
      <w:r w:rsidR="001447CC">
        <w:rPr>
          <w:rFonts w:ascii="Verdana" w:hAnsi="Verdana"/>
          <w:sz w:val="20"/>
          <w:szCs w:val="20"/>
        </w:rPr>
        <w:t xml:space="preserve"> are estimated dates to complete the project based upon the Gantt Chart and calendar year of 2021.</w:t>
      </w:r>
    </w:p>
    <w:p w14:paraId="6B9B8628" w14:textId="77777777" w:rsidR="003C136F" w:rsidRDefault="003C136F" w:rsidP="00DE49AE">
      <w:pPr>
        <w:rPr>
          <w:rFonts w:ascii="Verdana" w:hAnsi="Verdana"/>
          <w:b/>
          <w:sz w:val="20"/>
          <w:szCs w:val="20"/>
        </w:rPr>
      </w:pPr>
    </w:p>
    <w:p w14:paraId="0B82BD69" w14:textId="77777777" w:rsidR="003C136F" w:rsidRDefault="003C136F" w:rsidP="00DE49AE">
      <w:pPr>
        <w:rPr>
          <w:rFonts w:ascii="Verdana" w:hAnsi="Verdana"/>
          <w:b/>
          <w:sz w:val="20"/>
          <w:szCs w:val="20"/>
        </w:rPr>
      </w:pPr>
    </w:p>
    <w:p w14:paraId="3EEBBFE4" w14:textId="77777777" w:rsidR="003C136F" w:rsidRDefault="003C136F" w:rsidP="00DE49AE">
      <w:pPr>
        <w:rPr>
          <w:rFonts w:ascii="Verdana" w:hAnsi="Verdana"/>
          <w:b/>
          <w:sz w:val="20"/>
          <w:szCs w:val="20"/>
        </w:rPr>
      </w:pPr>
    </w:p>
    <w:p w14:paraId="6A19FADA" w14:textId="77777777" w:rsidR="003C136F" w:rsidRDefault="003C136F" w:rsidP="00DE49AE">
      <w:pPr>
        <w:rPr>
          <w:rFonts w:ascii="Verdana" w:hAnsi="Verdana"/>
          <w:b/>
          <w:sz w:val="20"/>
          <w:szCs w:val="20"/>
        </w:rPr>
      </w:pPr>
    </w:p>
    <w:p w14:paraId="407A6CDA" w14:textId="77777777" w:rsidR="003C136F" w:rsidRDefault="003C136F" w:rsidP="00DE49AE">
      <w:pPr>
        <w:rPr>
          <w:rFonts w:ascii="Verdana" w:hAnsi="Verdana"/>
          <w:b/>
          <w:sz w:val="20"/>
          <w:szCs w:val="20"/>
        </w:rPr>
      </w:pPr>
    </w:p>
    <w:p w14:paraId="0A3A7094" w14:textId="01B96593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C3. </w:t>
      </w:r>
      <w:r w:rsidR="00DE49AE" w:rsidRPr="00DE49AE">
        <w:rPr>
          <w:rFonts w:ascii="Verdana" w:hAnsi="Verdana"/>
          <w:b/>
          <w:sz w:val="20"/>
          <w:szCs w:val="20"/>
        </w:rPr>
        <w:t>Discussion of Earned Value Analysis and Projections</w:t>
      </w:r>
    </w:p>
    <w:p w14:paraId="7EFD8626" w14:textId="4139DE32" w:rsidR="00DE49AE" w:rsidRDefault="00894973" w:rsidP="00DE49AE">
      <w:pPr>
        <w:rPr>
          <w:rFonts w:ascii="Verdana" w:hAnsi="Verdana"/>
          <w:sz w:val="20"/>
          <w:szCs w:val="20"/>
        </w:rPr>
      </w:pPr>
      <w:r w:rsidRPr="008A3FFB">
        <w:rPr>
          <w:rFonts w:ascii="Verdana" w:hAnsi="Verdana"/>
          <w:b/>
          <w:bCs/>
          <w:sz w:val="20"/>
          <w:szCs w:val="20"/>
        </w:rPr>
        <w:t>Team Sara Patel</w:t>
      </w:r>
      <w:r>
        <w:rPr>
          <w:rFonts w:ascii="Verdana" w:hAnsi="Verdana"/>
          <w:sz w:val="20"/>
          <w:szCs w:val="20"/>
        </w:rPr>
        <w:t xml:space="preserve"> – which is over the budget by $750 according to </w:t>
      </w:r>
      <w:r w:rsidR="00C5719A">
        <w:rPr>
          <w:rFonts w:ascii="Verdana" w:hAnsi="Verdana"/>
          <w:sz w:val="20"/>
          <w:szCs w:val="20"/>
        </w:rPr>
        <w:t xml:space="preserve">CV </w:t>
      </w:r>
      <w:r w:rsidR="002C5E06">
        <w:rPr>
          <w:rFonts w:ascii="Verdana" w:hAnsi="Verdana"/>
          <w:sz w:val="20"/>
          <w:szCs w:val="20"/>
        </w:rPr>
        <w:t>(Cost Variance)</w:t>
      </w:r>
      <w:r w:rsidR="003314FE">
        <w:rPr>
          <w:rFonts w:ascii="Verdana" w:hAnsi="Verdana"/>
          <w:sz w:val="20"/>
          <w:szCs w:val="20"/>
        </w:rPr>
        <w:t xml:space="preserve"> </w:t>
      </w:r>
      <w:r w:rsidR="00C5719A">
        <w:rPr>
          <w:rFonts w:ascii="Verdana" w:hAnsi="Verdana"/>
          <w:sz w:val="20"/>
          <w:szCs w:val="20"/>
        </w:rPr>
        <w:t xml:space="preserve">which indicates this team spent more on labor by 10 </w:t>
      </w:r>
      <w:r w:rsidR="005F66A2">
        <w:rPr>
          <w:rFonts w:ascii="Verdana" w:hAnsi="Verdana"/>
          <w:sz w:val="20"/>
          <w:szCs w:val="20"/>
        </w:rPr>
        <w:t>hours,</w:t>
      </w:r>
      <w:r w:rsidR="00C5719A">
        <w:rPr>
          <w:rFonts w:ascii="Verdana" w:hAnsi="Verdana"/>
          <w:sz w:val="20"/>
          <w:szCs w:val="20"/>
        </w:rPr>
        <w:t xml:space="preserve"> but this </w:t>
      </w:r>
      <w:r w:rsidR="007760D1">
        <w:rPr>
          <w:rFonts w:ascii="Verdana" w:hAnsi="Verdana"/>
          <w:sz w:val="20"/>
          <w:szCs w:val="20"/>
        </w:rPr>
        <w:t>portion of the project is completed.  According to CPI</w:t>
      </w:r>
      <w:r w:rsidR="003314FE">
        <w:rPr>
          <w:rFonts w:ascii="Verdana" w:hAnsi="Verdana"/>
          <w:sz w:val="20"/>
          <w:szCs w:val="20"/>
        </w:rPr>
        <w:t xml:space="preserve"> (</w:t>
      </w:r>
      <w:r w:rsidR="0058377A">
        <w:rPr>
          <w:rFonts w:ascii="Verdana" w:hAnsi="Verdana"/>
          <w:sz w:val="20"/>
          <w:szCs w:val="20"/>
        </w:rPr>
        <w:t>Cost Performance Index)</w:t>
      </w:r>
      <w:r w:rsidR="00502D87">
        <w:rPr>
          <w:rFonts w:ascii="Verdana" w:hAnsi="Verdana"/>
          <w:sz w:val="20"/>
          <w:szCs w:val="20"/>
        </w:rPr>
        <w:t xml:space="preserve"> </w:t>
      </w:r>
      <w:r w:rsidR="002F626F">
        <w:rPr>
          <w:rFonts w:ascii="Verdana" w:hAnsi="Verdana"/>
          <w:sz w:val="20"/>
          <w:szCs w:val="20"/>
        </w:rPr>
        <w:t>of 0.92</w:t>
      </w:r>
      <w:r w:rsidR="007760D1">
        <w:rPr>
          <w:rFonts w:ascii="Verdana" w:hAnsi="Verdana"/>
          <w:sz w:val="20"/>
          <w:szCs w:val="20"/>
        </w:rPr>
        <w:t xml:space="preserve"> this team spent over</w:t>
      </w:r>
      <w:r w:rsidR="009A1BB8">
        <w:rPr>
          <w:rFonts w:ascii="Verdana" w:hAnsi="Verdana"/>
          <w:sz w:val="20"/>
          <w:szCs w:val="20"/>
        </w:rPr>
        <w:t xml:space="preserve"> the planned cost</w:t>
      </w:r>
      <w:r w:rsidR="002F626F">
        <w:rPr>
          <w:rFonts w:ascii="Verdana" w:hAnsi="Verdana"/>
          <w:sz w:val="20"/>
          <w:szCs w:val="20"/>
        </w:rPr>
        <w:t xml:space="preserve"> by 0.08</w:t>
      </w:r>
      <w:r w:rsidR="009A1BB8">
        <w:rPr>
          <w:rFonts w:ascii="Verdana" w:hAnsi="Verdana"/>
          <w:sz w:val="20"/>
          <w:szCs w:val="20"/>
        </w:rPr>
        <w:t xml:space="preserve"> justifies what the number calculation stated in the CV metrics.</w:t>
      </w:r>
      <w:r w:rsidR="00292C3A">
        <w:rPr>
          <w:rFonts w:ascii="Verdana" w:hAnsi="Verdana"/>
          <w:sz w:val="20"/>
          <w:szCs w:val="20"/>
        </w:rPr>
        <w:t xml:space="preserve">  On the other </w:t>
      </w:r>
      <w:r w:rsidR="005F66A2">
        <w:rPr>
          <w:rFonts w:ascii="Verdana" w:hAnsi="Verdana"/>
          <w:sz w:val="20"/>
          <w:szCs w:val="20"/>
        </w:rPr>
        <w:t>hand,</w:t>
      </w:r>
      <w:r w:rsidR="00292C3A">
        <w:rPr>
          <w:rFonts w:ascii="Verdana" w:hAnsi="Verdana"/>
          <w:sz w:val="20"/>
          <w:szCs w:val="20"/>
        </w:rPr>
        <w:t xml:space="preserve"> SPI </w:t>
      </w:r>
      <w:r w:rsidR="00A61BF1">
        <w:rPr>
          <w:rFonts w:ascii="Verdana" w:hAnsi="Verdana"/>
          <w:sz w:val="20"/>
          <w:szCs w:val="20"/>
        </w:rPr>
        <w:t>(Schedule Performance Index)</w:t>
      </w:r>
      <w:r w:rsidR="00CF0CB3">
        <w:rPr>
          <w:rFonts w:ascii="Verdana" w:hAnsi="Verdana"/>
          <w:sz w:val="20"/>
          <w:szCs w:val="20"/>
        </w:rPr>
        <w:t xml:space="preserve"> of </w:t>
      </w:r>
      <w:r w:rsidR="00496CB7">
        <w:rPr>
          <w:rFonts w:ascii="Verdana" w:hAnsi="Verdana"/>
          <w:sz w:val="20"/>
          <w:szCs w:val="20"/>
        </w:rPr>
        <w:t>1.00</w:t>
      </w:r>
      <w:r w:rsidR="00A61BF1">
        <w:rPr>
          <w:rFonts w:ascii="Verdana" w:hAnsi="Verdana"/>
          <w:sz w:val="20"/>
          <w:szCs w:val="20"/>
        </w:rPr>
        <w:t xml:space="preserve"> </w:t>
      </w:r>
      <w:r w:rsidR="00292C3A">
        <w:rPr>
          <w:rFonts w:ascii="Verdana" w:hAnsi="Verdana"/>
          <w:sz w:val="20"/>
          <w:szCs w:val="20"/>
        </w:rPr>
        <w:t>calculation indicates this performance was exactly on schedule</w:t>
      </w:r>
      <w:r w:rsidR="00454D1A">
        <w:rPr>
          <w:rFonts w:ascii="Verdana" w:hAnsi="Verdana"/>
          <w:sz w:val="20"/>
          <w:szCs w:val="20"/>
        </w:rPr>
        <w:t>.  For Projections of EV</w:t>
      </w:r>
      <w:r w:rsidR="00D95D37">
        <w:rPr>
          <w:rFonts w:ascii="Verdana" w:hAnsi="Verdana"/>
          <w:sz w:val="20"/>
          <w:szCs w:val="20"/>
        </w:rPr>
        <w:t xml:space="preserve"> (Earned Value)</w:t>
      </w:r>
      <w:r w:rsidR="00454D1A">
        <w:rPr>
          <w:rFonts w:ascii="Verdana" w:hAnsi="Verdana"/>
          <w:sz w:val="20"/>
          <w:szCs w:val="20"/>
        </w:rPr>
        <w:t xml:space="preserve"> the Patel team’s EAC</w:t>
      </w:r>
      <w:r w:rsidR="00D95D37">
        <w:rPr>
          <w:rFonts w:ascii="Verdana" w:hAnsi="Verdana"/>
          <w:sz w:val="20"/>
          <w:szCs w:val="20"/>
        </w:rPr>
        <w:t xml:space="preserve"> (</w:t>
      </w:r>
      <w:r w:rsidR="003A5C47">
        <w:rPr>
          <w:rFonts w:ascii="Verdana" w:hAnsi="Verdana"/>
          <w:sz w:val="20"/>
          <w:szCs w:val="20"/>
        </w:rPr>
        <w:t>Es</w:t>
      </w:r>
      <w:r w:rsidR="00DF7CED">
        <w:rPr>
          <w:rFonts w:ascii="Verdana" w:hAnsi="Verdana"/>
          <w:sz w:val="20"/>
          <w:szCs w:val="20"/>
        </w:rPr>
        <w:t>timation At Completion)</w:t>
      </w:r>
      <w:r w:rsidR="00454D1A">
        <w:rPr>
          <w:rFonts w:ascii="Verdana" w:hAnsi="Verdana"/>
          <w:sz w:val="20"/>
          <w:szCs w:val="20"/>
        </w:rPr>
        <w:t xml:space="preserve"> indicated the amount of $9,130</w:t>
      </w:r>
      <w:r w:rsidR="00E21EDE">
        <w:rPr>
          <w:rFonts w:ascii="Verdana" w:hAnsi="Verdana"/>
          <w:sz w:val="20"/>
          <w:szCs w:val="20"/>
        </w:rPr>
        <w:t xml:space="preserve"> an estimation at to be spent by the end of the project.  On the other </w:t>
      </w:r>
      <w:r w:rsidR="005F66A2">
        <w:rPr>
          <w:rFonts w:ascii="Verdana" w:hAnsi="Verdana"/>
          <w:sz w:val="20"/>
          <w:szCs w:val="20"/>
        </w:rPr>
        <w:t>hand,</w:t>
      </w:r>
      <w:r w:rsidR="00E21EDE">
        <w:rPr>
          <w:rFonts w:ascii="Verdana" w:hAnsi="Verdana"/>
          <w:sz w:val="20"/>
          <w:szCs w:val="20"/>
        </w:rPr>
        <w:t xml:space="preserve"> the ETC </w:t>
      </w:r>
      <w:r w:rsidR="00DF7CED">
        <w:rPr>
          <w:rFonts w:ascii="Verdana" w:hAnsi="Verdana"/>
          <w:sz w:val="20"/>
          <w:szCs w:val="20"/>
        </w:rPr>
        <w:t>(</w:t>
      </w:r>
      <w:r w:rsidR="00E068E7">
        <w:rPr>
          <w:rFonts w:ascii="Verdana" w:hAnsi="Verdana"/>
          <w:sz w:val="20"/>
          <w:szCs w:val="20"/>
        </w:rPr>
        <w:t xml:space="preserve">Estimate To Complete) </w:t>
      </w:r>
      <w:r w:rsidR="00E21EDE">
        <w:rPr>
          <w:rFonts w:ascii="Verdana" w:hAnsi="Verdana"/>
          <w:sz w:val="20"/>
          <w:szCs w:val="20"/>
        </w:rPr>
        <w:t>indicated a negative dollar</w:t>
      </w:r>
      <w:r w:rsidR="00A133E8">
        <w:rPr>
          <w:rFonts w:ascii="Verdana" w:hAnsi="Verdana"/>
          <w:sz w:val="20"/>
          <w:szCs w:val="20"/>
        </w:rPr>
        <w:t xml:space="preserve"> amount of $20 indicates the amount will determine how much will likely be </w:t>
      </w:r>
      <w:r w:rsidR="00284201">
        <w:rPr>
          <w:rFonts w:ascii="Verdana" w:hAnsi="Verdana"/>
          <w:sz w:val="20"/>
          <w:szCs w:val="20"/>
        </w:rPr>
        <w:t>spent</w:t>
      </w:r>
      <w:r w:rsidR="00662F42">
        <w:rPr>
          <w:rFonts w:ascii="Verdana" w:hAnsi="Verdana"/>
          <w:sz w:val="20"/>
          <w:szCs w:val="20"/>
        </w:rPr>
        <w:t xml:space="preserve"> to finish the project which is conflicting for this team’s portion of the project is completed being over</w:t>
      </w:r>
      <w:r w:rsidR="00C34449">
        <w:rPr>
          <w:rFonts w:ascii="Verdana" w:hAnsi="Verdana"/>
          <w:sz w:val="20"/>
          <w:szCs w:val="20"/>
        </w:rPr>
        <w:t xml:space="preserve"> budget by $750.  The $20 amount is so small and not </w:t>
      </w:r>
      <w:r w:rsidR="005F66A2">
        <w:rPr>
          <w:rFonts w:ascii="Verdana" w:hAnsi="Verdana"/>
          <w:sz w:val="20"/>
          <w:szCs w:val="20"/>
        </w:rPr>
        <w:t>worth</w:t>
      </w:r>
      <w:r w:rsidR="00C34449">
        <w:rPr>
          <w:rFonts w:ascii="Verdana" w:hAnsi="Verdana"/>
          <w:sz w:val="20"/>
          <w:szCs w:val="20"/>
        </w:rPr>
        <w:t xml:space="preserve"> justifying in discussion.</w:t>
      </w:r>
    </w:p>
    <w:p w14:paraId="6B75F8CE" w14:textId="5BECE07B" w:rsidR="00D557E7" w:rsidRDefault="0093311D" w:rsidP="00DE49AE">
      <w:pPr>
        <w:rPr>
          <w:rFonts w:ascii="Verdana" w:hAnsi="Verdana"/>
          <w:sz w:val="20"/>
          <w:szCs w:val="20"/>
        </w:rPr>
      </w:pPr>
      <w:r w:rsidRPr="002A40C8">
        <w:rPr>
          <w:rFonts w:ascii="Verdana" w:hAnsi="Verdana"/>
          <w:b/>
          <w:bCs/>
          <w:sz w:val="20"/>
          <w:szCs w:val="20"/>
        </w:rPr>
        <w:t>Team Sophia Miller</w:t>
      </w:r>
      <w:r>
        <w:rPr>
          <w:rFonts w:ascii="Verdana" w:hAnsi="Verdana"/>
          <w:sz w:val="20"/>
          <w:szCs w:val="20"/>
        </w:rPr>
        <w:t xml:space="preserve"> – which is over the budget by </w:t>
      </w:r>
      <w:r w:rsidR="00210C09">
        <w:rPr>
          <w:rFonts w:ascii="Verdana" w:hAnsi="Verdana"/>
          <w:sz w:val="20"/>
          <w:szCs w:val="20"/>
        </w:rPr>
        <w:t xml:space="preserve">$1,161 </w:t>
      </w:r>
      <w:r w:rsidR="00CF7302">
        <w:rPr>
          <w:rFonts w:ascii="Verdana" w:hAnsi="Verdana"/>
          <w:sz w:val="20"/>
          <w:szCs w:val="20"/>
        </w:rPr>
        <w:t>overspent</w:t>
      </w:r>
      <w:r w:rsidR="00210C09">
        <w:rPr>
          <w:rFonts w:ascii="Verdana" w:hAnsi="Verdana"/>
          <w:sz w:val="20"/>
          <w:szCs w:val="20"/>
        </w:rPr>
        <w:t xml:space="preserve"> the planned cost according to CV</w:t>
      </w:r>
      <w:r w:rsidR="002C5E06">
        <w:rPr>
          <w:rFonts w:ascii="Verdana" w:hAnsi="Verdana"/>
          <w:sz w:val="20"/>
          <w:szCs w:val="20"/>
        </w:rPr>
        <w:t xml:space="preserve"> which indicates this team spen</w:t>
      </w:r>
      <w:r w:rsidR="00A85E62">
        <w:rPr>
          <w:rFonts w:ascii="Verdana" w:hAnsi="Verdana"/>
          <w:sz w:val="20"/>
          <w:szCs w:val="20"/>
        </w:rPr>
        <w:t>t the planned cost according to CV</w:t>
      </w:r>
      <w:r w:rsidR="00F26D3D">
        <w:rPr>
          <w:rFonts w:ascii="Verdana" w:hAnsi="Verdana"/>
          <w:sz w:val="20"/>
          <w:szCs w:val="20"/>
        </w:rPr>
        <w:t xml:space="preserve"> which indicates this team spent more on labor by approximately 15 hours.  </w:t>
      </w:r>
      <w:r w:rsidR="00452BDA">
        <w:rPr>
          <w:rFonts w:ascii="Verdana" w:hAnsi="Verdana"/>
          <w:sz w:val="20"/>
          <w:szCs w:val="20"/>
        </w:rPr>
        <w:t>According to CPI</w:t>
      </w:r>
      <w:r w:rsidR="000F04E3">
        <w:rPr>
          <w:rFonts w:ascii="Verdana" w:hAnsi="Verdana"/>
          <w:sz w:val="20"/>
          <w:szCs w:val="20"/>
        </w:rPr>
        <w:t xml:space="preserve"> of 0.</w:t>
      </w:r>
      <w:r w:rsidR="00204D3F">
        <w:rPr>
          <w:rFonts w:ascii="Verdana" w:hAnsi="Verdana"/>
          <w:sz w:val="20"/>
          <w:szCs w:val="20"/>
        </w:rPr>
        <w:t>84</w:t>
      </w:r>
      <w:r w:rsidR="00452BDA">
        <w:rPr>
          <w:rFonts w:ascii="Verdana" w:hAnsi="Verdana"/>
          <w:sz w:val="20"/>
          <w:szCs w:val="20"/>
        </w:rPr>
        <w:t xml:space="preserve"> this team spent over the planned cost </w:t>
      </w:r>
      <w:r w:rsidR="00204D3F">
        <w:rPr>
          <w:rFonts w:ascii="Verdana" w:hAnsi="Verdana"/>
          <w:sz w:val="20"/>
          <w:szCs w:val="20"/>
        </w:rPr>
        <w:t>by 0.16</w:t>
      </w:r>
      <w:r w:rsidR="00585BB0">
        <w:rPr>
          <w:rFonts w:ascii="Verdana" w:hAnsi="Verdana"/>
          <w:sz w:val="20"/>
          <w:szCs w:val="20"/>
        </w:rPr>
        <w:t xml:space="preserve"> </w:t>
      </w:r>
      <w:r w:rsidR="00452BDA">
        <w:rPr>
          <w:rFonts w:ascii="Verdana" w:hAnsi="Verdana"/>
          <w:sz w:val="20"/>
          <w:szCs w:val="20"/>
        </w:rPr>
        <w:t xml:space="preserve">justifies what </w:t>
      </w:r>
      <w:r w:rsidR="006401C5">
        <w:rPr>
          <w:rFonts w:ascii="Verdana" w:hAnsi="Verdana"/>
          <w:sz w:val="20"/>
          <w:szCs w:val="20"/>
        </w:rPr>
        <w:t>the number calculation stated in the CV metrics.  On the other hand, SPI</w:t>
      </w:r>
      <w:r w:rsidR="00585BB0">
        <w:rPr>
          <w:rFonts w:ascii="Verdana" w:hAnsi="Verdana"/>
          <w:sz w:val="20"/>
          <w:szCs w:val="20"/>
        </w:rPr>
        <w:t xml:space="preserve"> 0.87</w:t>
      </w:r>
      <w:r w:rsidR="006401C5">
        <w:rPr>
          <w:rFonts w:ascii="Verdana" w:hAnsi="Verdana"/>
          <w:sz w:val="20"/>
          <w:szCs w:val="20"/>
        </w:rPr>
        <w:t xml:space="preserve"> calculation </w:t>
      </w:r>
      <w:r w:rsidR="002E711F">
        <w:rPr>
          <w:rFonts w:ascii="Verdana" w:hAnsi="Verdana"/>
          <w:sz w:val="20"/>
          <w:szCs w:val="20"/>
        </w:rPr>
        <w:t xml:space="preserve">indicates this team performance was </w:t>
      </w:r>
      <w:r w:rsidR="00FD15C8">
        <w:rPr>
          <w:rFonts w:ascii="Verdana" w:hAnsi="Verdana"/>
          <w:sz w:val="20"/>
          <w:szCs w:val="20"/>
        </w:rPr>
        <w:t>behind</w:t>
      </w:r>
      <w:r w:rsidR="002E711F">
        <w:rPr>
          <w:rFonts w:ascii="Verdana" w:hAnsi="Verdana"/>
          <w:sz w:val="20"/>
          <w:szCs w:val="20"/>
        </w:rPr>
        <w:t xml:space="preserve"> of schedule</w:t>
      </w:r>
      <w:r w:rsidR="00FD15C8">
        <w:rPr>
          <w:rFonts w:ascii="Verdana" w:hAnsi="Verdana"/>
          <w:sz w:val="20"/>
          <w:szCs w:val="20"/>
        </w:rPr>
        <w:t xml:space="preserve"> plus Burndown</w:t>
      </w:r>
      <w:r w:rsidR="00D3793E">
        <w:rPr>
          <w:rFonts w:ascii="Verdana" w:hAnsi="Verdana"/>
          <w:sz w:val="20"/>
          <w:szCs w:val="20"/>
        </w:rPr>
        <w:t xml:space="preserve"> Chart indicates being ahead of schedule</w:t>
      </w:r>
      <w:r w:rsidR="004E6F54">
        <w:rPr>
          <w:rFonts w:ascii="Verdana" w:hAnsi="Verdana"/>
          <w:sz w:val="20"/>
          <w:szCs w:val="20"/>
        </w:rPr>
        <w:t xml:space="preserve"> in project to a certain date.</w:t>
      </w:r>
      <w:r w:rsidR="002E711F">
        <w:rPr>
          <w:rFonts w:ascii="Verdana" w:hAnsi="Verdana"/>
          <w:sz w:val="20"/>
          <w:szCs w:val="20"/>
        </w:rPr>
        <w:t xml:space="preserve">  For Projections of EV the Miller team</w:t>
      </w:r>
      <w:r w:rsidR="000E426A">
        <w:rPr>
          <w:rFonts w:ascii="Verdana" w:hAnsi="Verdana"/>
          <w:sz w:val="20"/>
          <w:szCs w:val="20"/>
        </w:rPr>
        <w:t xml:space="preserve">’s EAC indicated the amount of $12,857 an estimation at to be spend by the end of the project.  On the other hand, </w:t>
      </w:r>
      <w:r w:rsidR="000747F9">
        <w:rPr>
          <w:rFonts w:ascii="Verdana" w:hAnsi="Verdana"/>
          <w:sz w:val="20"/>
          <w:szCs w:val="20"/>
        </w:rPr>
        <w:t>the ETC indicated a positive dollar amount of $5,432 with an estimated dur</w:t>
      </w:r>
      <w:r w:rsidR="00EF109C">
        <w:rPr>
          <w:rFonts w:ascii="Verdana" w:hAnsi="Verdana"/>
          <w:sz w:val="20"/>
          <w:szCs w:val="20"/>
        </w:rPr>
        <w:t xml:space="preserve">ation to complete project next </w:t>
      </w:r>
      <w:r w:rsidR="00205FDD">
        <w:rPr>
          <w:rFonts w:ascii="Verdana" w:hAnsi="Verdana"/>
          <w:sz w:val="20"/>
          <w:szCs w:val="20"/>
        </w:rPr>
        <w:t>7</w:t>
      </w:r>
      <w:r w:rsidR="00EF109C">
        <w:rPr>
          <w:rFonts w:ascii="Verdana" w:hAnsi="Verdana"/>
          <w:sz w:val="20"/>
          <w:szCs w:val="20"/>
        </w:rPr>
        <w:t xml:space="preserve"> days on July 2</w:t>
      </w:r>
      <w:r w:rsidR="00D55342">
        <w:rPr>
          <w:rFonts w:ascii="Verdana" w:hAnsi="Verdana"/>
          <w:sz w:val="20"/>
          <w:szCs w:val="20"/>
        </w:rPr>
        <w:t>9</w:t>
      </w:r>
      <w:r w:rsidR="00EF109C">
        <w:rPr>
          <w:rFonts w:ascii="Verdana" w:hAnsi="Verdana"/>
          <w:sz w:val="20"/>
          <w:szCs w:val="20"/>
        </w:rPr>
        <w:t xml:space="preserve">, 2021; likewise, </w:t>
      </w:r>
      <w:r w:rsidR="002A5D93">
        <w:rPr>
          <w:rFonts w:ascii="Verdana" w:hAnsi="Verdana"/>
          <w:sz w:val="20"/>
          <w:szCs w:val="20"/>
        </w:rPr>
        <w:t>the Gantt Chart indicates this team should finish on July 2</w:t>
      </w:r>
      <w:r w:rsidR="00D55342">
        <w:rPr>
          <w:rFonts w:ascii="Verdana" w:hAnsi="Verdana"/>
          <w:sz w:val="20"/>
          <w:szCs w:val="20"/>
        </w:rPr>
        <w:t>8</w:t>
      </w:r>
      <w:r w:rsidR="002A5D93">
        <w:rPr>
          <w:rFonts w:ascii="Verdana" w:hAnsi="Verdana"/>
          <w:sz w:val="20"/>
          <w:szCs w:val="20"/>
        </w:rPr>
        <w:t xml:space="preserve">, </w:t>
      </w:r>
      <w:r w:rsidR="00CE108B">
        <w:rPr>
          <w:rFonts w:ascii="Verdana" w:hAnsi="Verdana"/>
          <w:sz w:val="20"/>
          <w:szCs w:val="20"/>
        </w:rPr>
        <w:t>2021,</w:t>
      </w:r>
      <w:r w:rsidR="002A5D93">
        <w:rPr>
          <w:rFonts w:ascii="Verdana" w:hAnsi="Verdana"/>
          <w:sz w:val="20"/>
          <w:szCs w:val="20"/>
        </w:rPr>
        <w:t xml:space="preserve"> indicating </w:t>
      </w:r>
      <w:r w:rsidR="00696E2F">
        <w:rPr>
          <w:rFonts w:ascii="Verdana" w:hAnsi="Verdana"/>
          <w:sz w:val="20"/>
          <w:szCs w:val="20"/>
        </w:rPr>
        <w:t xml:space="preserve">this team is </w:t>
      </w:r>
      <w:r w:rsidR="00087A8E">
        <w:rPr>
          <w:rFonts w:ascii="Verdana" w:hAnsi="Verdana"/>
          <w:sz w:val="20"/>
          <w:szCs w:val="20"/>
        </w:rPr>
        <w:t>behind</w:t>
      </w:r>
      <w:r w:rsidR="00696E2F">
        <w:rPr>
          <w:rFonts w:ascii="Verdana" w:hAnsi="Verdana"/>
          <w:sz w:val="20"/>
          <w:szCs w:val="20"/>
        </w:rPr>
        <w:t xml:space="preserve"> of schedule by </w:t>
      </w:r>
      <w:r w:rsidR="00087A8E">
        <w:rPr>
          <w:rFonts w:ascii="Verdana" w:hAnsi="Verdana"/>
          <w:sz w:val="20"/>
          <w:szCs w:val="20"/>
        </w:rPr>
        <w:t>1</w:t>
      </w:r>
      <w:r w:rsidR="00696E2F">
        <w:rPr>
          <w:rFonts w:ascii="Verdana" w:hAnsi="Verdana"/>
          <w:sz w:val="20"/>
          <w:szCs w:val="20"/>
        </w:rPr>
        <w:t xml:space="preserve"> day.</w:t>
      </w:r>
      <w:r w:rsidR="00A8683A">
        <w:rPr>
          <w:rFonts w:ascii="Verdana" w:hAnsi="Verdana"/>
          <w:sz w:val="20"/>
          <w:szCs w:val="20"/>
        </w:rPr>
        <w:t xml:space="preserve">  </w:t>
      </w:r>
      <w:r w:rsidR="00972D36">
        <w:rPr>
          <w:rFonts w:ascii="Verdana" w:hAnsi="Verdana"/>
          <w:sz w:val="20"/>
          <w:szCs w:val="20"/>
        </w:rPr>
        <w:t>This team overall is behind the budget</w:t>
      </w:r>
      <w:r w:rsidR="006C5E28">
        <w:rPr>
          <w:rFonts w:ascii="Verdana" w:hAnsi="Verdana"/>
          <w:sz w:val="20"/>
          <w:szCs w:val="20"/>
        </w:rPr>
        <w:t xml:space="preserve"> by $1,161 and behind schedule by 1 day accordingly just after</w:t>
      </w:r>
      <w:r w:rsidR="00112A20">
        <w:rPr>
          <w:rFonts w:ascii="Verdana" w:hAnsi="Verdana"/>
          <w:sz w:val="20"/>
          <w:szCs w:val="20"/>
        </w:rPr>
        <w:t xml:space="preserve"> day 12 of the start of the project.</w:t>
      </w:r>
    </w:p>
    <w:p w14:paraId="4FD5BCA1" w14:textId="14B21229" w:rsidR="009A7D1F" w:rsidRDefault="007F61C1" w:rsidP="00DE49AE">
      <w:pPr>
        <w:rPr>
          <w:rFonts w:ascii="Verdana" w:hAnsi="Verdana"/>
          <w:sz w:val="20"/>
          <w:szCs w:val="20"/>
        </w:rPr>
      </w:pPr>
      <w:r w:rsidRPr="00D358AC">
        <w:rPr>
          <w:rFonts w:ascii="Verdana" w:hAnsi="Verdana"/>
          <w:b/>
          <w:bCs/>
          <w:sz w:val="20"/>
          <w:szCs w:val="20"/>
        </w:rPr>
        <w:t>Team Daniel Johnson</w:t>
      </w:r>
      <w:r>
        <w:rPr>
          <w:rFonts w:ascii="Verdana" w:hAnsi="Verdana"/>
          <w:sz w:val="20"/>
          <w:szCs w:val="20"/>
        </w:rPr>
        <w:t xml:space="preserve"> </w:t>
      </w:r>
      <w:r w:rsidR="00C930F1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C930F1">
        <w:rPr>
          <w:rFonts w:ascii="Verdana" w:hAnsi="Verdana"/>
          <w:sz w:val="20"/>
          <w:szCs w:val="20"/>
        </w:rPr>
        <w:t xml:space="preserve">under the budget by $42 according to CV which indicates this team was </w:t>
      </w:r>
      <w:r w:rsidR="00A70246">
        <w:rPr>
          <w:rFonts w:ascii="Verdana" w:hAnsi="Verdana"/>
          <w:sz w:val="20"/>
          <w:szCs w:val="20"/>
        </w:rPr>
        <w:t xml:space="preserve">short by a half an hour in labor which is very nominal. </w:t>
      </w:r>
      <w:r w:rsidR="00D358AC">
        <w:rPr>
          <w:rFonts w:ascii="Verdana" w:hAnsi="Verdana"/>
          <w:sz w:val="20"/>
          <w:szCs w:val="20"/>
        </w:rPr>
        <w:t>According to CPI</w:t>
      </w:r>
      <w:r w:rsidR="0058494C">
        <w:rPr>
          <w:rFonts w:ascii="Verdana" w:hAnsi="Verdana"/>
          <w:sz w:val="20"/>
          <w:szCs w:val="20"/>
        </w:rPr>
        <w:t xml:space="preserve"> of 1.04</w:t>
      </w:r>
      <w:r w:rsidR="00D358AC">
        <w:rPr>
          <w:rFonts w:ascii="Verdana" w:hAnsi="Verdana"/>
          <w:sz w:val="20"/>
          <w:szCs w:val="20"/>
        </w:rPr>
        <w:t xml:space="preserve"> this team spent</w:t>
      </w:r>
      <w:r w:rsidR="00F216ED">
        <w:rPr>
          <w:rFonts w:ascii="Verdana" w:hAnsi="Verdana"/>
          <w:sz w:val="20"/>
          <w:szCs w:val="20"/>
        </w:rPr>
        <w:t xml:space="preserve"> under the planned cost</w:t>
      </w:r>
      <w:r w:rsidR="002A6639">
        <w:rPr>
          <w:rFonts w:ascii="Verdana" w:hAnsi="Verdana"/>
          <w:sz w:val="20"/>
          <w:szCs w:val="20"/>
        </w:rPr>
        <w:t xml:space="preserve"> </w:t>
      </w:r>
      <w:r w:rsidR="00AD7E14">
        <w:rPr>
          <w:rFonts w:ascii="Verdana" w:hAnsi="Verdana"/>
          <w:sz w:val="20"/>
          <w:szCs w:val="20"/>
        </w:rPr>
        <w:t xml:space="preserve">by </w:t>
      </w:r>
      <w:r w:rsidR="002A6639">
        <w:rPr>
          <w:rFonts w:ascii="Verdana" w:hAnsi="Verdana"/>
          <w:sz w:val="20"/>
          <w:szCs w:val="20"/>
        </w:rPr>
        <w:t>0.04</w:t>
      </w:r>
      <w:r w:rsidR="00F216ED">
        <w:rPr>
          <w:rFonts w:ascii="Verdana" w:hAnsi="Verdana"/>
          <w:sz w:val="20"/>
          <w:szCs w:val="20"/>
        </w:rPr>
        <w:t xml:space="preserve"> justifies what the number calculation stated in CV metrics</w:t>
      </w:r>
      <w:r w:rsidR="00BA3399">
        <w:rPr>
          <w:rFonts w:ascii="Verdana" w:hAnsi="Verdana"/>
          <w:sz w:val="20"/>
          <w:szCs w:val="20"/>
        </w:rPr>
        <w:t>.  On the other hand, SPI</w:t>
      </w:r>
      <w:r w:rsidR="00AD7E14">
        <w:rPr>
          <w:rFonts w:ascii="Verdana" w:hAnsi="Verdana"/>
          <w:sz w:val="20"/>
          <w:szCs w:val="20"/>
        </w:rPr>
        <w:t xml:space="preserve"> of </w:t>
      </w:r>
      <w:r w:rsidR="00F37A01">
        <w:rPr>
          <w:rFonts w:ascii="Verdana" w:hAnsi="Verdana"/>
          <w:sz w:val="20"/>
          <w:szCs w:val="20"/>
        </w:rPr>
        <w:t>0.</w:t>
      </w:r>
      <w:r w:rsidR="00892670">
        <w:rPr>
          <w:rFonts w:ascii="Verdana" w:hAnsi="Verdana"/>
          <w:sz w:val="20"/>
          <w:szCs w:val="20"/>
        </w:rPr>
        <w:t>96</w:t>
      </w:r>
      <w:r w:rsidR="00BA3399">
        <w:rPr>
          <w:rFonts w:ascii="Verdana" w:hAnsi="Verdana"/>
          <w:sz w:val="20"/>
          <w:szCs w:val="20"/>
        </w:rPr>
        <w:t xml:space="preserve"> calculation </w:t>
      </w:r>
      <w:r w:rsidR="0019224A">
        <w:rPr>
          <w:rFonts w:ascii="Verdana" w:hAnsi="Verdana"/>
          <w:sz w:val="20"/>
          <w:szCs w:val="20"/>
        </w:rPr>
        <w:t xml:space="preserve">indicates this team performance was behind schedule </w:t>
      </w:r>
      <w:r w:rsidR="000676B2">
        <w:rPr>
          <w:rFonts w:ascii="Verdana" w:hAnsi="Verdana"/>
          <w:sz w:val="20"/>
          <w:szCs w:val="20"/>
        </w:rPr>
        <w:t>plus Burndown Chart indicates being ahead of</w:t>
      </w:r>
      <w:r w:rsidR="00A87C02">
        <w:rPr>
          <w:rFonts w:ascii="Verdana" w:hAnsi="Verdana"/>
          <w:sz w:val="20"/>
          <w:szCs w:val="20"/>
        </w:rPr>
        <w:t xml:space="preserve"> schedule to a certain date. </w:t>
      </w:r>
      <w:r w:rsidR="00404599">
        <w:rPr>
          <w:rFonts w:ascii="Verdana" w:hAnsi="Verdana"/>
          <w:sz w:val="20"/>
          <w:szCs w:val="20"/>
        </w:rPr>
        <w:t>For Projection of EV the Johnson team’s EAC indicated the amount of $</w:t>
      </w:r>
      <w:r w:rsidR="00FA7549">
        <w:rPr>
          <w:rFonts w:ascii="Verdana" w:hAnsi="Verdana"/>
          <w:sz w:val="20"/>
          <w:szCs w:val="20"/>
        </w:rPr>
        <w:t>19,808</w:t>
      </w:r>
      <w:r w:rsidR="00404599">
        <w:rPr>
          <w:rFonts w:ascii="Verdana" w:hAnsi="Verdana"/>
          <w:sz w:val="20"/>
          <w:szCs w:val="20"/>
        </w:rPr>
        <w:t xml:space="preserve"> </w:t>
      </w:r>
      <w:r w:rsidR="009F3957">
        <w:rPr>
          <w:rFonts w:ascii="Verdana" w:hAnsi="Verdana"/>
          <w:sz w:val="20"/>
          <w:szCs w:val="20"/>
        </w:rPr>
        <w:t>an estimation of to be spend by the end of the project.  On the other hand, the ETC</w:t>
      </w:r>
      <w:r w:rsidR="006F1F28">
        <w:rPr>
          <w:rFonts w:ascii="Verdana" w:hAnsi="Verdana"/>
          <w:sz w:val="20"/>
          <w:szCs w:val="20"/>
        </w:rPr>
        <w:t xml:space="preserve"> indicated a positive dollar amount of $38,608 with an estimated amount how much likely to be spent</w:t>
      </w:r>
      <w:r w:rsidR="004D2739">
        <w:rPr>
          <w:rFonts w:ascii="Verdana" w:hAnsi="Verdana"/>
          <w:sz w:val="20"/>
          <w:szCs w:val="20"/>
        </w:rPr>
        <w:t xml:space="preserve"> to finish the project.</w:t>
      </w:r>
      <w:r w:rsidR="00C67146">
        <w:rPr>
          <w:rFonts w:ascii="Verdana" w:hAnsi="Verdana"/>
          <w:sz w:val="20"/>
          <w:szCs w:val="20"/>
        </w:rPr>
        <w:t xml:space="preserve"> </w:t>
      </w:r>
      <w:r w:rsidR="00046FCE">
        <w:rPr>
          <w:rFonts w:ascii="Verdana" w:hAnsi="Verdana"/>
          <w:sz w:val="20"/>
          <w:szCs w:val="20"/>
        </w:rPr>
        <w:t xml:space="preserve">The planned completion </w:t>
      </w:r>
      <w:r w:rsidR="002E24AE">
        <w:rPr>
          <w:rFonts w:ascii="Verdana" w:hAnsi="Verdana"/>
          <w:sz w:val="20"/>
          <w:szCs w:val="20"/>
        </w:rPr>
        <w:t xml:space="preserve">date is </w:t>
      </w:r>
      <w:r w:rsidR="006A6D93">
        <w:rPr>
          <w:rFonts w:ascii="Verdana" w:hAnsi="Verdana"/>
          <w:sz w:val="20"/>
          <w:szCs w:val="20"/>
        </w:rPr>
        <w:t>September 15</w:t>
      </w:r>
      <w:r w:rsidR="00CA7362">
        <w:rPr>
          <w:rFonts w:ascii="Verdana" w:hAnsi="Verdana"/>
          <w:sz w:val="20"/>
          <w:szCs w:val="20"/>
        </w:rPr>
        <w:t>th</w:t>
      </w:r>
      <w:r w:rsidR="006A6D93">
        <w:rPr>
          <w:rFonts w:ascii="Verdana" w:hAnsi="Verdana"/>
          <w:sz w:val="20"/>
          <w:szCs w:val="20"/>
        </w:rPr>
        <w:t xml:space="preserve"> as </w:t>
      </w:r>
      <w:r w:rsidR="002E24AE">
        <w:rPr>
          <w:rFonts w:ascii="Verdana" w:hAnsi="Verdana"/>
          <w:sz w:val="20"/>
          <w:szCs w:val="20"/>
        </w:rPr>
        <w:t>indicated in comparison to Gantt Chart</w:t>
      </w:r>
      <w:r w:rsidR="006A6D93">
        <w:rPr>
          <w:rFonts w:ascii="Verdana" w:hAnsi="Verdana"/>
          <w:sz w:val="20"/>
          <w:szCs w:val="20"/>
        </w:rPr>
        <w:t xml:space="preserve"> with 4</w:t>
      </w:r>
      <w:r w:rsidR="004D1736">
        <w:rPr>
          <w:rFonts w:ascii="Verdana" w:hAnsi="Verdana"/>
          <w:sz w:val="20"/>
          <w:szCs w:val="20"/>
        </w:rPr>
        <w:t>0</w:t>
      </w:r>
      <w:r w:rsidR="00662BE9">
        <w:rPr>
          <w:rFonts w:ascii="Verdana" w:hAnsi="Verdana"/>
          <w:sz w:val="20"/>
          <w:szCs w:val="20"/>
        </w:rPr>
        <w:t xml:space="preserve"> days estimated duration.</w:t>
      </w:r>
      <w:r w:rsidR="00FD684B">
        <w:rPr>
          <w:rFonts w:ascii="Verdana" w:hAnsi="Verdana"/>
          <w:sz w:val="20"/>
          <w:szCs w:val="20"/>
        </w:rPr>
        <w:t xml:space="preserve">  The Johnson team budget was under by $42 accordingly just after day 12 of the start date of the project.</w:t>
      </w:r>
    </w:p>
    <w:p w14:paraId="16B1B2F9" w14:textId="0D452F42" w:rsidR="006315CD" w:rsidRDefault="00F22656" w:rsidP="00DE49AE">
      <w:pPr>
        <w:rPr>
          <w:rFonts w:ascii="Verdana" w:hAnsi="Verdana"/>
          <w:sz w:val="20"/>
          <w:szCs w:val="20"/>
        </w:rPr>
      </w:pPr>
      <w:r w:rsidRPr="008B1CE4">
        <w:rPr>
          <w:rFonts w:ascii="Verdana" w:hAnsi="Verdana"/>
          <w:b/>
          <w:bCs/>
          <w:sz w:val="20"/>
          <w:szCs w:val="20"/>
        </w:rPr>
        <w:t>Team Talia Phan</w:t>
      </w:r>
      <w:r>
        <w:rPr>
          <w:rFonts w:ascii="Verdana" w:hAnsi="Verdana"/>
          <w:sz w:val="20"/>
          <w:szCs w:val="20"/>
        </w:rPr>
        <w:t xml:space="preserve"> </w:t>
      </w:r>
      <w:r w:rsidR="00C568B5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C568B5">
        <w:rPr>
          <w:rFonts w:ascii="Verdana" w:hAnsi="Verdana"/>
          <w:sz w:val="20"/>
          <w:szCs w:val="20"/>
        </w:rPr>
        <w:t>under the budget by $270 according to CV which indicates this team</w:t>
      </w:r>
      <w:r w:rsidR="008B1CE4">
        <w:rPr>
          <w:rFonts w:ascii="Verdana" w:hAnsi="Verdana"/>
          <w:sz w:val="20"/>
          <w:szCs w:val="20"/>
        </w:rPr>
        <w:t xml:space="preserve"> was short by almost 4 hours. </w:t>
      </w:r>
      <w:r w:rsidR="00252C61">
        <w:rPr>
          <w:rFonts w:ascii="Verdana" w:hAnsi="Verdana"/>
          <w:sz w:val="20"/>
          <w:szCs w:val="20"/>
        </w:rPr>
        <w:t>According to CPI</w:t>
      </w:r>
      <w:r w:rsidR="00E73DD6">
        <w:rPr>
          <w:rFonts w:ascii="Verdana" w:hAnsi="Verdana"/>
          <w:sz w:val="20"/>
          <w:szCs w:val="20"/>
        </w:rPr>
        <w:t xml:space="preserve"> of 1.11</w:t>
      </w:r>
      <w:r w:rsidR="00252C61">
        <w:rPr>
          <w:rFonts w:ascii="Verdana" w:hAnsi="Verdana"/>
          <w:sz w:val="20"/>
          <w:szCs w:val="20"/>
        </w:rPr>
        <w:t xml:space="preserve"> this team spend under the planned cost </w:t>
      </w:r>
      <w:r w:rsidR="00BE4CB4">
        <w:rPr>
          <w:rFonts w:ascii="Verdana" w:hAnsi="Verdana"/>
          <w:sz w:val="20"/>
          <w:szCs w:val="20"/>
        </w:rPr>
        <w:t xml:space="preserve">of 0.11 </w:t>
      </w:r>
      <w:r w:rsidR="00252C61">
        <w:rPr>
          <w:rFonts w:ascii="Verdana" w:hAnsi="Verdana"/>
          <w:sz w:val="20"/>
          <w:szCs w:val="20"/>
        </w:rPr>
        <w:t>jus</w:t>
      </w:r>
      <w:r w:rsidR="00357839">
        <w:rPr>
          <w:rFonts w:ascii="Verdana" w:hAnsi="Verdana"/>
          <w:sz w:val="20"/>
          <w:szCs w:val="20"/>
        </w:rPr>
        <w:t xml:space="preserve">tifies what the number calculation stated in CV metrics.  </w:t>
      </w:r>
      <w:r w:rsidR="00880CCB">
        <w:rPr>
          <w:rFonts w:ascii="Verdana" w:hAnsi="Verdana"/>
          <w:sz w:val="20"/>
          <w:szCs w:val="20"/>
        </w:rPr>
        <w:t xml:space="preserve">On the other hand, SPI </w:t>
      </w:r>
      <w:r w:rsidR="00022F81">
        <w:rPr>
          <w:rFonts w:ascii="Verdana" w:hAnsi="Verdana"/>
          <w:sz w:val="20"/>
          <w:szCs w:val="20"/>
        </w:rPr>
        <w:t xml:space="preserve">of </w:t>
      </w:r>
      <w:r w:rsidR="00583561">
        <w:rPr>
          <w:rFonts w:ascii="Verdana" w:hAnsi="Verdana"/>
          <w:sz w:val="20"/>
          <w:szCs w:val="20"/>
        </w:rPr>
        <w:t>1.95</w:t>
      </w:r>
      <w:r w:rsidR="00022F81">
        <w:rPr>
          <w:rFonts w:ascii="Verdana" w:hAnsi="Verdana"/>
          <w:sz w:val="20"/>
          <w:szCs w:val="20"/>
        </w:rPr>
        <w:t xml:space="preserve"> </w:t>
      </w:r>
      <w:r w:rsidR="00880CCB">
        <w:rPr>
          <w:rFonts w:ascii="Verdana" w:hAnsi="Verdana"/>
          <w:sz w:val="20"/>
          <w:szCs w:val="20"/>
        </w:rPr>
        <w:t xml:space="preserve">calculation </w:t>
      </w:r>
      <w:r w:rsidR="001F2EA6">
        <w:rPr>
          <w:rFonts w:ascii="Verdana" w:hAnsi="Verdana"/>
          <w:sz w:val="20"/>
          <w:szCs w:val="20"/>
        </w:rPr>
        <w:t xml:space="preserve">indicates this team performance was </w:t>
      </w:r>
      <w:r w:rsidR="008F0D5A">
        <w:rPr>
          <w:rFonts w:ascii="Verdana" w:hAnsi="Verdana"/>
          <w:sz w:val="20"/>
          <w:szCs w:val="20"/>
        </w:rPr>
        <w:t>ahead</w:t>
      </w:r>
      <w:r w:rsidR="001F2EA6">
        <w:rPr>
          <w:rFonts w:ascii="Verdana" w:hAnsi="Verdana"/>
          <w:sz w:val="20"/>
          <w:szCs w:val="20"/>
        </w:rPr>
        <w:t xml:space="preserve"> to schedule</w:t>
      </w:r>
      <w:r w:rsidR="00B97BFF">
        <w:rPr>
          <w:rFonts w:ascii="Verdana" w:hAnsi="Verdana"/>
          <w:sz w:val="20"/>
          <w:szCs w:val="20"/>
        </w:rPr>
        <w:t xml:space="preserve">.  </w:t>
      </w:r>
      <w:r w:rsidR="00455FC9">
        <w:rPr>
          <w:rFonts w:ascii="Verdana" w:hAnsi="Verdana"/>
          <w:sz w:val="20"/>
          <w:szCs w:val="20"/>
        </w:rPr>
        <w:t xml:space="preserve">For Projections of EV the Phan team’s EAC indicated the amount of $48,108 </w:t>
      </w:r>
      <w:r w:rsidR="0054542D">
        <w:rPr>
          <w:rFonts w:ascii="Verdana" w:hAnsi="Verdana"/>
          <w:sz w:val="20"/>
          <w:szCs w:val="20"/>
        </w:rPr>
        <w:t>an estimation at to be spent by the end of the project.  On the other hand, the ETC indicated a positive dollar</w:t>
      </w:r>
      <w:r w:rsidR="007B078F">
        <w:rPr>
          <w:rFonts w:ascii="Verdana" w:hAnsi="Verdana"/>
          <w:sz w:val="20"/>
          <w:szCs w:val="20"/>
        </w:rPr>
        <w:t xml:space="preserve"> amount of $45,708 with an estimated amount how much likely to be </w:t>
      </w:r>
      <w:r w:rsidR="00E96E39">
        <w:rPr>
          <w:rFonts w:ascii="Verdana" w:hAnsi="Verdana"/>
          <w:sz w:val="20"/>
          <w:szCs w:val="20"/>
        </w:rPr>
        <w:t>spent</w:t>
      </w:r>
      <w:r w:rsidR="007B078F">
        <w:rPr>
          <w:rFonts w:ascii="Verdana" w:hAnsi="Verdana"/>
          <w:sz w:val="20"/>
          <w:szCs w:val="20"/>
        </w:rPr>
        <w:t xml:space="preserve"> to finish the project.  </w:t>
      </w:r>
      <w:r w:rsidR="00BD1007">
        <w:rPr>
          <w:rFonts w:ascii="Verdana" w:hAnsi="Verdana"/>
          <w:sz w:val="20"/>
          <w:szCs w:val="20"/>
        </w:rPr>
        <w:t>The variation planned completion date</w:t>
      </w:r>
      <w:r w:rsidR="00182120">
        <w:rPr>
          <w:rFonts w:ascii="Verdana" w:hAnsi="Verdana"/>
          <w:sz w:val="20"/>
          <w:szCs w:val="20"/>
        </w:rPr>
        <w:t xml:space="preserve"> </w:t>
      </w:r>
      <w:r w:rsidR="00154F07">
        <w:rPr>
          <w:rFonts w:ascii="Verdana" w:hAnsi="Verdana"/>
          <w:sz w:val="20"/>
          <w:szCs w:val="20"/>
        </w:rPr>
        <w:t>11/</w:t>
      </w:r>
      <w:r w:rsidR="008F0D5A">
        <w:rPr>
          <w:rFonts w:ascii="Verdana" w:hAnsi="Verdana"/>
          <w:sz w:val="20"/>
          <w:szCs w:val="20"/>
        </w:rPr>
        <w:t>3</w:t>
      </w:r>
      <w:r w:rsidR="00154F07">
        <w:rPr>
          <w:rFonts w:ascii="Verdana" w:hAnsi="Verdana"/>
          <w:sz w:val="20"/>
          <w:szCs w:val="20"/>
        </w:rPr>
        <w:t>/2021</w:t>
      </w:r>
      <w:r w:rsidR="00BD1007">
        <w:rPr>
          <w:rFonts w:ascii="Verdana" w:hAnsi="Verdana"/>
          <w:sz w:val="20"/>
          <w:szCs w:val="20"/>
        </w:rPr>
        <w:t xml:space="preserve"> i</w:t>
      </w:r>
      <w:r w:rsidR="00605F78">
        <w:rPr>
          <w:rFonts w:ascii="Verdana" w:hAnsi="Verdana"/>
          <w:sz w:val="20"/>
          <w:szCs w:val="20"/>
        </w:rPr>
        <w:t>s the same</w:t>
      </w:r>
      <w:r w:rsidR="00BD1007">
        <w:rPr>
          <w:rFonts w:ascii="Verdana" w:hAnsi="Verdana"/>
          <w:sz w:val="20"/>
          <w:szCs w:val="20"/>
        </w:rPr>
        <w:t xml:space="preserve"> in comparison to </w:t>
      </w:r>
      <w:r w:rsidR="00BD1007">
        <w:rPr>
          <w:rFonts w:ascii="Verdana" w:hAnsi="Verdana"/>
          <w:sz w:val="20"/>
          <w:szCs w:val="20"/>
        </w:rPr>
        <w:lastRenderedPageBreak/>
        <w:t>Gantt Chart</w:t>
      </w:r>
      <w:r w:rsidR="00B47677">
        <w:rPr>
          <w:rFonts w:ascii="Verdana" w:hAnsi="Verdana"/>
          <w:sz w:val="20"/>
          <w:szCs w:val="20"/>
        </w:rPr>
        <w:t xml:space="preserve"> date of completion.  The Phan </w:t>
      </w:r>
      <w:r w:rsidR="001302CE">
        <w:rPr>
          <w:rFonts w:ascii="Verdana" w:hAnsi="Verdana"/>
          <w:sz w:val="20"/>
          <w:szCs w:val="20"/>
        </w:rPr>
        <w:t>team budget was under $ $270 accordingly just after day 12 of the start date of the project.</w:t>
      </w:r>
      <w:r w:rsidR="008B1CE4">
        <w:rPr>
          <w:rFonts w:ascii="Verdana" w:hAnsi="Verdana"/>
          <w:sz w:val="20"/>
          <w:szCs w:val="20"/>
        </w:rPr>
        <w:t xml:space="preserve"> </w:t>
      </w:r>
    </w:p>
    <w:p w14:paraId="12C3B2EC" w14:textId="77777777" w:rsidR="00D35C6F" w:rsidRDefault="00D35C6F" w:rsidP="00DE49AE">
      <w:pPr>
        <w:rPr>
          <w:rFonts w:ascii="Verdana" w:hAnsi="Verdana"/>
          <w:sz w:val="20"/>
          <w:szCs w:val="20"/>
        </w:rPr>
      </w:pPr>
    </w:p>
    <w:p w14:paraId="732B57DD" w14:textId="053E506E" w:rsidR="00EB7A56" w:rsidRDefault="00D35C6F" w:rsidP="00DE49AE">
      <w:pPr>
        <w:rPr>
          <w:rFonts w:ascii="Verdana" w:hAnsi="Verdana"/>
          <w:sz w:val="20"/>
          <w:szCs w:val="20"/>
        </w:rPr>
      </w:pPr>
      <w:r w:rsidRPr="001B0756">
        <w:rPr>
          <w:rFonts w:ascii="Verdana" w:hAnsi="Verdana"/>
          <w:b/>
          <w:bCs/>
          <w:sz w:val="20"/>
          <w:szCs w:val="20"/>
        </w:rPr>
        <w:t>Team Omar Thomas</w:t>
      </w:r>
      <w:r>
        <w:rPr>
          <w:rFonts w:ascii="Verdana" w:hAnsi="Verdana"/>
          <w:sz w:val="20"/>
          <w:szCs w:val="20"/>
        </w:rPr>
        <w:t xml:space="preserve"> – for this team there was no </w:t>
      </w:r>
      <w:r w:rsidR="00954EA4">
        <w:rPr>
          <w:rFonts w:ascii="Verdana" w:hAnsi="Verdana"/>
          <w:sz w:val="20"/>
          <w:szCs w:val="20"/>
        </w:rPr>
        <w:t>EV metrics because this team has not started on the project.  It indicates</w:t>
      </w:r>
      <w:r w:rsidR="00874A3D">
        <w:rPr>
          <w:rFonts w:ascii="Verdana" w:hAnsi="Verdana"/>
          <w:sz w:val="20"/>
          <w:szCs w:val="20"/>
        </w:rPr>
        <w:t xml:space="preserve"> this team for the Migration Phase had been shadowing the other teams.  </w:t>
      </w:r>
      <w:r w:rsidR="00645A6C">
        <w:rPr>
          <w:rFonts w:ascii="Verdana" w:hAnsi="Verdana"/>
          <w:sz w:val="20"/>
          <w:szCs w:val="20"/>
        </w:rPr>
        <w:t>The caveat therefore was that this team had several junior level team members being</w:t>
      </w:r>
      <w:r w:rsidR="00837B47">
        <w:rPr>
          <w:rFonts w:ascii="Verdana" w:hAnsi="Verdana"/>
          <w:sz w:val="20"/>
          <w:szCs w:val="20"/>
        </w:rPr>
        <w:t xml:space="preserve"> able to charge those shadowing hours to the company’s professional development budget instead</w:t>
      </w:r>
      <w:r w:rsidR="001B0756">
        <w:rPr>
          <w:rFonts w:ascii="Verdana" w:hAnsi="Verdana"/>
          <w:sz w:val="20"/>
          <w:szCs w:val="20"/>
        </w:rPr>
        <w:t xml:space="preserve"> of the planned budget of the project.</w:t>
      </w:r>
      <w:r w:rsidR="008F56D6">
        <w:rPr>
          <w:rFonts w:ascii="Verdana" w:hAnsi="Verdana"/>
          <w:sz w:val="20"/>
          <w:szCs w:val="20"/>
        </w:rPr>
        <w:t xml:space="preserve">  EV projections </w:t>
      </w:r>
      <w:r w:rsidR="00754BBE">
        <w:rPr>
          <w:rFonts w:ascii="Verdana" w:hAnsi="Verdana"/>
          <w:sz w:val="20"/>
          <w:szCs w:val="20"/>
        </w:rPr>
        <w:t>indicates</w:t>
      </w:r>
      <w:r w:rsidR="002F3731">
        <w:rPr>
          <w:rFonts w:ascii="Verdana" w:hAnsi="Verdana"/>
          <w:sz w:val="20"/>
          <w:szCs w:val="20"/>
        </w:rPr>
        <w:t xml:space="preserve"> that</w:t>
      </w:r>
      <w:r w:rsidR="008F56D6">
        <w:rPr>
          <w:rFonts w:ascii="Verdana" w:hAnsi="Verdana"/>
          <w:sz w:val="20"/>
          <w:szCs w:val="20"/>
        </w:rPr>
        <w:t xml:space="preserve"> the Thomas Team EAC is $</w:t>
      </w:r>
      <w:r w:rsidR="00065B43">
        <w:rPr>
          <w:rFonts w:ascii="Verdana" w:hAnsi="Verdana"/>
          <w:sz w:val="20"/>
          <w:szCs w:val="20"/>
        </w:rPr>
        <w:t>0</w:t>
      </w:r>
      <w:r w:rsidR="00A204D7">
        <w:rPr>
          <w:rFonts w:ascii="Verdana" w:hAnsi="Verdana"/>
          <w:sz w:val="20"/>
          <w:szCs w:val="20"/>
        </w:rPr>
        <w:t xml:space="preserve"> and ETC $</w:t>
      </w:r>
      <w:r w:rsidR="00065B43">
        <w:rPr>
          <w:rFonts w:ascii="Verdana" w:hAnsi="Verdana"/>
          <w:sz w:val="20"/>
          <w:szCs w:val="20"/>
        </w:rPr>
        <w:t>0</w:t>
      </w:r>
      <w:r w:rsidR="00A204D7">
        <w:rPr>
          <w:rFonts w:ascii="Verdana" w:hAnsi="Verdana"/>
          <w:sz w:val="20"/>
          <w:szCs w:val="20"/>
        </w:rPr>
        <w:t xml:space="preserve"> with an Estimate Duration of 18 day</w:t>
      </w:r>
      <w:r w:rsidR="00140D61">
        <w:rPr>
          <w:rFonts w:ascii="Verdana" w:hAnsi="Verdana"/>
          <w:sz w:val="20"/>
          <w:szCs w:val="20"/>
        </w:rPr>
        <w:t>s</w:t>
      </w:r>
      <w:r w:rsidR="00A204D7">
        <w:rPr>
          <w:rFonts w:ascii="Verdana" w:hAnsi="Verdana"/>
          <w:sz w:val="20"/>
          <w:szCs w:val="20"/>
        </w:rPr>
        <w:t xml:space="preserve"> </w:t>
      </w:r>
      <w:r w:rsidR="003076B9">
        <w:rPr>
          <w:rFonts w:ascii="Verdana" w:hAnsi="Verdana"/>
          <w:sz w:val="20"/>
          <w:szCs w:val="20"/>
        </w:rPr>
        <w:t xml:space="preserve">to be completed </w:t>
      </w:r>
      <w:r w:rsidR="002F3731">
        <w:rPr>
          <w:rFonts w:ascii="Verdana" w:hAnsi="Verdana"/>
          <w:sz w:val="20"/>
          <w:szCs w:val="20"/>
        </w:rPr>
        <w:t xml:space="preserve">by </w:t>
      </w:r>
      <w:r w:rsidR="003076B9">
        <w:rPr>
          <w:rFonts w:ascii="Verdana" w:hAnsi="Verdana"/>
          <w:sz w:val="20"/>
          <w:szCs w:val="20"/>
        </w:rPr>
        <w:t>10/11/2021 with Gantt Chart comp</w:t>
      </w:r>
      <w:r w:rsidR="0071693D">
        <w:rPr>
          <w:rFonts w:ascii="Verdana" w:hAnsi="Verdana"/>
          <w:sz w:val="20"/>
          <w:szCs w:val="20"/>
        </w:rPr>
        <w:t>letion date also on 10/11/2021</w:t>
      </w:r>
      <w:r w:rsidR="003F580A">
        <w:rPr>
          <w:rFonts w:ascii="Verdana" w:hAnsi="Verdana"/>
          <w:sz w:val="20"/>
          <w:szCs w:val="20"/>
        </w:rPr>
        <w:t>.</w:t>
      </w:r>
      <w:r w:rsidR="00A70246">
        <w:rPr>
          <w:rFonts w:ascii="Verdana" w:hAnsi="Verdana"/>
          <w:sz w:val="20"/>
          <w:szCs w:val="20"/>
        </w:rPr>
        <w:t xml:space="preserve"> </w:t>
      </w:r>
    </w:p>
    <w:p w14:paraId="272C09F9" w14:textId="16078400" w:rsidR="00E77362" w:rsidRDefault="00B04AD8" w:rsidP="00DE49AE">
      <w:pPr>
        <w:rPr>
          <w:rFonts w:ascii="Verdana" w:hAnsi="Verdana"/>
          <w:sz w:val="20"/>
          <w:szCs w:val="20"/>
        </w:rPr>
      </w:pPr>
      <w:r w:rsidRPr="00F83D3D">
        <w:rPr>
          <w:rFonts w:ascii="Verdana" w:hAnsi="Verdana"/>
          <w:b/>
          <w:bCs/>
          <w:sz w:val="20"/>
          <w:szCs w:val="20"/>
        </w:rPr>
        <w:t>In conclusion</w:t>
      </w:r>
      <w:r>
        <w:rPr>
          <w:rFonts w:ascii="Verdana" w:hAnsi="Verdana"/>
          <w:sz w:val="20"/>
          <w:szCs w:val="20"/>
        </w:rPr>
        <w:t xml:space="preserve"> the team that is doing the worst is Omar</w:t>
      </w:r>
      <w:r w:rsidR="000473B0">
        <w:rPr>
          <w:rFonts w:ascii="Verdana" w:hAnsi="Verdana"/>
          <w:sz w:val="20"/>
          <w:szCs w:val="20"/>
        </w:rPr>
        <w:t xml:space="preserve"> Thomas because they have not started on their portion of the project.  </w:t>
      </w:r>
      <w:r w:rsidR="00C22019">
        <w:rPr>
          <w:rFonts w:ascii="Verdana" w:hAnsi="Verdana"/>
          <w:sz w:val="20"/>
          <w:szCs w:val="20"/>
        </w:rPr>
        <w:t xml:space="preserve">Team </w:t>
      </w:r>
      <w:r w:rsidR="00B94361">
        <w:rPr>
          <w:rFonts w:ascii="Verdana" w:hAnsi="Verdana"/>
          <w:sz w:val="20"/>
          <w:szCs w:val="20"/>
        </w:rPr>
        <w:t>Talia Phan</w:t>
      </w:r>
      <w:r w:rsidR="00C22019">
        <w:rPr>
          <w:rFonts w:ascii="Verdana" w:hAnsi="Verdana"/>
          <w:sz w:val="20"/>
          <w:szCs w:val="20"/>
        </w:rPr>
        <w:t xml:space="preserve"> working on the </w:t>
      </w:r>
      <w:r w:rsidR="00B94361">
        <w:rPr>
          <w:rFonts w:ascii="Verdana" w:hAnsi="Verdana"/>
          <w:sz w:val="20"/>
          <w:szCs w:val="20"/>
        </w:rPr>
        <w:t>Testing</w:t>
      </w:r>
      <w:r w:rsidR="00C22019">
        <w:rPr>
          <w:rFonts w:ascii="Verdana" w:hAnsi="Verdana"/>
          <w:sz w:val="20"/>
          <w:szCs w:val="20"/>
        </w:rPr>
        <w:t xml:space="preserve"> Phase would be the best of </w:t>
      </w:r>
      <w:r w:rsidR="00F05CE9">
        <w:rPr>
          <w:rFonts w:ascii="Verdana" w:hAnsi="Verdana"/>
          <w:sz w:val="20"/>
          <w:szCs w:val="20"/>
        </w:rPr>
        <w:t xml:space="preserve">all the teams because the SPI </w:t>
      </w:r>
      <w:r w:rsidR="00B94361">
        <w:rPr>
          <w:rFonts w:ascii="Verdana" w:hAnsi="Verdana"/>
          <w:sz w:val="20"/>
          <w:szCs w:val="20"/>
        </w:rPr>
        <w:t xml:space="preserve">of 0.98 </w:t>
      </w:r>
      <w:r w:rsidR="00F05CE9">
        <w:rPr>
          <w:rFonts w:ascii="Verdana" w:hAnsi="Verdana"/>
          <w:sz w:val="20"/>
          <w:szCs w:val="20"/>
        </w:rPr>
        <w:t xml:space="preserve">calculation indicates team performance was </w:t>
      </w:r>
      <w:r w:rsidR="00DE7206">
        <w:rPr>
          <w:rFonts w:ascii="Verdana" w:hAnsi="Verdana"/>
          <w:sz w:val="20"/>
          <w:szCs w:val="20"/>
        </w:rPr>
        <w:t xml:space="preserve">close to </w:t>
      </w:r>
      <w:r w:rsidR="00F05CE9">
        <w:rPr>
          <w:rFonts w:ascii="Verdana" w:hAnsi="Verdana"/>
          <w:sz w:val="20"/>
          <w:szCs w:val="20"/>
        </w:rPr>
        <w:t>schedule</w:t>
      </w:r>
      <w:r w:rsidR="00F3235F">
        <w:rPr>
          <w:rFonts w:ascii="Verdana" w:hAnsi="Verdana"/>
          <w:sz w:val="20"/>
          <w:szCs w:val="20"/>
        </w:rPr>
        <w:t>.</w:t>
      </w:r>
      <w:r w:rsidR="00F05CE9">
        <w:rPr>
          <w:rFonts w:ascii="Verdana" w:hAnsi="Verdana"/>
          <w:sz w:val="20"/>
          <w:szCs w:val="20"/>
        </w:rPr>
        <w:t xml:space="preserve"> </w:t>
      </w:r>
      <w:r w:rsidR="00F3235F">
        <w:rPr>
          <w:rFonts w:ascii="Verdana" w:hAnsi="Verdana"/>
          <w:sz w:val="20"/>
          <w:szCs w:val="20"/>
        </w:rPr>
        <w:t>Also, Phan’s team was under budget by $270</w:t>
      </w:r>
      <w:r w:rsidR="00324E6B">
        <w:rPr>
          <w:rFonts w:ascii="Verdana" w:hAnsi="Verdana"/>
          <w:sz w:val="20"/>
          <w:szCs w:val="20"/>
        </w:rPr>
        <w:t xml:space="preserve"> accordingly</w:t>
      </w:r>
      <w:r w:rsidR="005F2494">
        <w:rPr>
          <w:rFonts w:ascii="Verdana" w:hAnsi="Verdana"/>
          <w:sz w:val="20"/>
          <w:szCs w:val="20"/>
        </w:rPr>
        <w:t xml:space="preserve"> just after day 12 of the start date of the project.</w:t>
      </w:r>
      <w:r w:rsidR="00F237E4">
        <w:rPr>
          <w:rFonts w:ascii="Verdana" w:hAnsi="Verdana"/>
          <w:sz w:val="20"/>
          <w:szCs w:val="20"/>
        </w:rPr>
        <w:t xml:space="preserve"> Their EAC was $48,108 and ETC $45,708.</w:t>
      </w:r>
    </w:p>
    <w:p w14:paraId="395F9FFC" w14:textId="7924BDE0" w:rsidR="0070586A" w:rsidRPr="00232B49" w:rsidRDefault="0070586A" w:rsidP="00DE49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Furthermore, EAC</w:t>
      </w:r>
      <w:r w:rsidR="008E2B81">
        <w:rPr>
          <w:rFonts w:ascii="Verdana" w:hAnsi="Verdana"/>
          <w:sz w:val="20"/>
          <w:szCs w:val="20"/>
        </w:rPr>
        <w:t xml:space="preserve"> the Estimate at Completion amount is currently expected to be spent by the end of the project</w:t>
      </w:r>
      <w:r w:rsidR="00432A28">
        <w:rPr>
          <w:rFonts w:ascii="Verdana" w:hAnsi="Verdana"/>
          <w:sz w:val="20"/>
          <w:szCs w:val="20"/>
        </w:rPr>
        <w:t>.  Likewise, ETC the Estimate to Complete</w:t>
      </w:r>
      <w:r w:rsidR="004F5738">
        <w:rPr>
          <w:rFonts w:ascii="Verdana" w:hAnsi="Verdana"/>
          <w:sz w:val="20"/>
          <w:szCs w:val="20"/>
        </w:rPr>
        <w:t xml:space="preserve"> is how much will likely be spent to finish the project.</w:t>
      </w:r>
      <w:r w:rsidR="00566475">
        <w:rPr>
          <w:rFonts w:ascii="Verdana" w:hAnsi="Verdana"/>
          <w:sz w:val="20"/>
          <w:szCs w:val="20"/>
        </w:rPr>
        <w:t xml:space="preserve">  CPI Cost Performance Index is a measure of the cost efficiency of budgeted resources expressed as the ratio of Earned Value to Actual Cost.</w:t>
      </w:r>
      <w:r w:rsidR="00050385">
        <w:rPr>
          <w:rFonts w:ascii="Verdana" w:hAnsi="Verdana"/>
          <w:sz w:val="20"/>
          <w:szCs w:val="20"/>
        </w:rPr>
        <w:t xml:space="preserve">  And SPI Specific Performance Index is a measure of schedule efficiency expressed as the ratio of Earned Value to Planned Value.</w:t>
      </w:r>
    </w:p>
    <w:p w14:paraId="1B2329D1" w14:textId="77777777" w:rsidR="00C67225" w:rsidRDefault="00C67225" w:rsidP="00DE49AE">
      <w:pPr>
        <w:rPr>
          <w:rFonts w:ascii="Verdana" w:hAnsi="Verdana"/>
          <w:b/>
          <w:sz w:val="20"/>
          <w:szCs w:val="20"/>
        </w:rPr>
      </w:pPr>
    </w:p>
    <w:p w14:paraId="5F105C55" w14:textId="02D75D4E" w:rsid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D1. </w:t>
      </w:r>
      <w:r w:rsidR="00DE49AE" w:rsidRPr="00DE49AE">
        <w:rPr>
          <w:rFonts w:ascii="Verdana" w:hAnsi="Verdana"/>
          <w:b/>
          <w:sz w:val="20"/>
          <w:szCs w:val="20"/>
        </w:rPr>
        <w:t>Burndown Chart</w:t>
      </w:r>
    </w:p>
    <w:p w14:paraId="22676E39" w14:textId="53A2C6BE" w:rsidR="00BE1245" w:rsidRPr="00431897" w:rsidRDefault="00431897" w:rsidP="00DE49AE">
      <w:pPr>
        <w:rPr>
          <w:rFonts w:ascii="Verdana" w:hAnsi="Verdana"/>
          <w:b/>
          <w:color w:val="FF0000"/>
          <w:sz w:val="20"/>
          <w:szCs w:val="20"/>
        </w:rPr>
      </w:pPr>
      <w:r w:rsidRPr="0086071A">
        <w:rPr>
          <w:rFonts w:ascii="Verdana" w:hAnsi="Verdana"/>
          <w:b/>
          <w:color w:val="FF0000"/>
          <w:sz w:val="20"/>
          <w:szCs w:val="20"/>
        </w:rPr>
        <w:t>Please see file upload for Excel file (Earned Value Analysis Task 3</w:t>
      </w:r>
      <w:r>
        <w:rPr>
          <w:rFonts w:ascii="Verdana" w:hAnsi="Verdana"/>
          <w:b/>
          <w:color w:val="FF0000"/>
          <w:sz w:val="20"/>
          <w:szCs w:val="20"/>
        </w:rPr>
        <w:t xml:space="preserve"> – see sheet tab D1</w:t>
      </w:r>
      <w:r w:rsidRPr="0086071A">
        <w:rPr>
          <w:rFonts w:ascii="Verdana" w:hAnsi="Verdana"/>
          <w:b/>
          <w:color w:val="FF0000"/>
          <w:sz w:val="20"/>
          <w:szCs w:val="20"/>
        </w:rPr>
        <w:t>)</w:t>
      </w:r>
    </w:p>
    <w:p w14:paraId="0B1CF8BB" w14:textId="0DC11E3C" w:rsidR="00BE1245" w:rsidRDefault="001B1C23" w:rsidP="00DE49AE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44B19F5D" wp14:editId="6D3B9C22">
            <wp:extent cx="5734418" cy="3130222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3DBB66E-4CBC-4A53-828E-59D7590219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1B324E3" w14:textId="42165926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p w14:paraId="209AE38C" w14:textId="057F8E7A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 w:rsidRPr="00A240FF">
        <w:rPr>
          <w:rFonts w:ascii="Verdana" w:hAnsi="Verdana"/>
          <w:b/>
          <w:sz w:val="20"/>
          <w:szCs w:val="20"/>
        </w:rPr>
        <w:t xml:space="preserve">D2. </w:t>
      </w:r>
      <w:r w:rsidR="00DE49AE" w:rsidRPr="00A240FF">
        <w:rPr>
          <w:rFonts w:ascii="Verdana" w:hAnsi="Verdana"/>
          <w:b/>
          <w:sz w:val="20"/>
          <w:szCs w:val="20"/>
        </w:rPr>
        <w:t>Discussion of Burndown Chart</w:t>
      </w:r>
    </w:p>
    <w:p w14:paraId="7118257B" w14:textId="1BC8C658" w:rsidR="00DE49AE" w:rsidRPr="00DE49AE" w:rsidRDefault="00AC3890" w:rsidP="00DE49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Burndown Chart indicates</w:t>
      </w:r>
      <w:r w:rsidR="005A1C51">
        <w:rPr>
          <w:rFonts w:ascii="Verdana" w:hAnsi="Verdana"/>
          <w:sz w:val="20"/>
          <w:szCs w:val="20"/>
        </w:rPr>
        <w:t xml:space="preserve"> there are </w:t>
      </w:r>
      <w:r w:rsidR="005A1C51" w:rsidRPr="00FF11AA">
        <w:rPr>
          <w:rFonts w:ascii="Verdana" w:hAnsi="Verdana"/>
          <w:b/>
          <w:bCs/>
          <w:sz w:val="20"/>
          <w:szCs w:val="20"/>
        </w:rPr>
        <w:t>17</w:t>
      </w:r>
      <w:r>
        <w:rPr>
          <w:rFonts w:ascii="Verdana" w:hAnsi="Verdana"/>
          <w:sz w:val="20"/>
          <w:szCs w:val="20"/>
        </w:rPr>
        <w:t xml:space="preserve"> tasks</w:t>
      </w:r>
      <w:r w:rsidR="008B1A90">
        <w:rPr>
          <w:rFonts w:ascii="Verdana" w:hAnsi="Verdana"/>
          <w:sz w:val="20"/>
          <w:szCs w:val="20"/>
        </w:rPr>
        <w:t xml:space="preserve"> that are remaining to complete</w:t>
      </w:r>
      <w:r w:rsidR="00695A55">
        <w:rPr>
          <w:rFonts w:ascii="Verdana" w:hAnsi="Verdana"/>
          <w:sz w:val="20"/>
          <w:szCs w:val="20"/>
        </w:rPr>
        <w:t xml:space="preserve"> the project</w:t>
      </w:r>
      <w:r w:rsidR="008B1A90">
        <w:rPr>
          <w:rFonts w:ascii="Verdana" w:hAnsi="Verdana"/>
          <w:sz w:val="20"/>
          <w:szCs w:val="20"/>
        </w:rPr>
        <w:t xml:space="preserve"> which measures the progress working through the project which only shows</w:t>
      </w:r>
      <w:r w:rsidR="00B80197">
        <w:rPr>
          <w:rFonts w:ascii="Verdana" w:hAnsi="Verdana"/>
          <w:sz w:val="20"/>
          <w:szCs w:val="20"/>
        </w:rPr>
        <w:t xml:space="preserve"> as estimation when a task is completed.  The Burndown Chart takes into consideration the number</w:t>
      </w:r>
      <w:r w:rsidR="00B840B8">
        <w:rPr>
          <w:rFonts w:ascii="Verdana" w:hAnsi="Verdana"/>
          <w:sz w:val="20"/>
          <w:szCs w:val="20"/>
        </w:rPr>
        <w:t xml:space="preserve"> of </w:t>
      </w:r>
      <w:r w:rsidR="000369C3" w:rsidRPr="00132AAE">
        <w:rPr>
          <w:rFonts w:ascii="Verdana" w:hAnsi="Verdana"/>
          <w:b/>
          <w:bCs/>
          <w:sz w:val="20"/>
          <w:szCs w:val="20"/>
        </w:rPr>
        <w:t xml:space="preserve">86 </w:t>
      </w:r>
      <w:r w:rsidR="00B840B8">
        <w:rPr>
          <w:rFonts w:ascii="Verdana" w:hAnsi="Verdana"/>
          <w:sz w:val="20"/>
          <w:szCs w:val="20"/>
        </w:rPr>
        <w:t>days to complete the project, Ideal Burndown, and Actual Burndown</w:t>
      </w:r>
      <w:r w:rsidR="00FF204E">
        <w:rPr>
          <w:rFonts w:ascii="Verdana" w:hAnsi="Verdana"/>
          <w:sz w:val="20"/>
          <w:szCs w:val="20"/>
        </w:rPr>
        <w:t xml:space="preserve"> of </w:t>
      </w:r>
      <w:r w:rsidR="00FF204E" w:rsidRPr="00132AAE">
        <w:rPr>
          <w:rFonts w:ascii="Verdana" w:hAnsi="Verdana"/>
          <w:b/>
          <w:bCs/>
          <w:sz w:val="20"/>
          <w:szCs w:val="20"/>
        </w:rPr>
        <w:t xml:space="preserve">8 </w:t>
      </w:r>
      <w:r w:rsidR="00FF204E">
        <w:rPr>
          <w:rFonts w:ascii="Verdana" w:hAnsi="Verdana"/>
          <w:sz w:val="20"/>
          <w:szCs w:val="20"/>
        </w:rPr>
        <w:t>tasks completed.</w:t>
      </w:r>
      <w:r w:rsidR="00B840B8">
        <w:rPr>
          <w:rFonts w:ascii="Verdana" w:hAnsi="Verdana"/>
          <w:sz w:val="20"/>
          <w:szCs w:val="20"/>
        </w:rPr>
        <w:t xml:space="preserve">  As shown on the Burndown Chart </w:t>
      </w:r>
      <w:r w:rsidR="004630D9">
        <w:rPr>
          <w:rFonts w:ascii="Verdana" w:hAnsi="Verdana"/>
          <w:sz w:val="20"/>
          <w:szCs w:val="20"/>
        </w:rPr>
        <w:t>the</w:t>
      </w:r>
      <w:r w:rsidR="00143E45">
        <w:rPr>
          <w:rFonts w:ascii="Verdana" w:hAnsi="Verdana"/>
          <w:sz w:val="20"/>
          <w:szCs w:val="20"/>
        </w:rPr>
        <w:t xml:space="preserve"> Actual Burndown line is below the Ideal Burndown line</w:t>
      </w:r>
      <w:r w:rsidR="00640D34">
        <w:rPr>
          <w:rFonts w:ascii="Verdana" w:hAnsi="Verdana"/>
          <w:sz w:val="20"/>
          <w:szCs w:val="20"/>
        </w:rPr>
        <w:t xml:space="preserve"> as to the 12</w:t>
      </w:r>
      <w:r w:rsidR="00640D34" w:rsidRPr="00640D34">
        <w:rPr>
          <w:rFonts w:ascii="Verdana" w:hAnsi="Verdana"/>
          <w:sz w:val="20"/>
          <w:szCs w:val="20"/>
          <w:vertAlign w:val="superscript"/>
        </w:rPr>
        <w:t>th</w:t>
      </w:r>
      <w:r w:rsidR="00640D34">
        <w:rPr>
          <w:rFonts w:ascii="Verdana" w:hAnsi="Verdana"/>
          <w:sz w:val="20"/>
          <w:szCs w:val="20"/>
        </w:rPr>
        <w:t xml:space="preserve"> </w:t>
      </w:r>
      <w:r w:rsidR="004B5C71">
        <w:rPr>
          <w:rFonts w:ascii="Verdana" w:hAnsi="Verdana"/>
          <w:sz w:val="20"/>
          <w:szCs w:val="20"/>
        </w:rPr>
        <w:t>day from start date of July 5th</w:t>
      </w:r>
      <w:r w:rsidR="00143E45">
        <w:rPr>
          <w:rFonts w:ascii="Verdana" w:hAnsi="Verdana"/>
          <w:sz w:val="20"/>
          <w:szCs w:val="20"/>
        </w:rPr>
        <w:t xml:space="preserve"> indicating</w:t>
      </w:r>
      <w:r w:rsidR="00557F35">
        <w:rPr>
          <w:rFonts w:ascii="Verdana" w:hAnsi="Verdana"/>
          <w:sz w:val="20"/>
          <w:szCs w:val="20"/>
        </w:rPr>
        <w:t xml:space="preserve"> the project is ahead of schedule</w:t>
      </w:r>
      <w:r w:rsidR="008748D5">
        <w:rPr>
          <w:rFonts w:ascii="Verdana" w:hAnsi="Verdana"/>
          <w:sz w:val="20"/>
          <w:szCs w:val="20"/>
        </w:rPr>
        <w:t>; yet indicating more tasks are re</w:t>
      </w:r>
      <w:r w:rsidR="00D65FA1">
        <w:rPr>
          <w:rFonts w:ascii="Verdana" w:hAnsi="Verdana"/>
          <w:sz w:val="20"/>
          <w:szCs w:val="20"/>
        </w:rPr>
        <w:t xml:space="preserve">maining to the schedule. </w:t>
      </w:r>
      <w:r w:rsidR="00A13905">
        <w:rPr>
          <w:rFonts w:ascii="Verdana" w:hAnsi="Verdana"/>
          <w:sz w:val="20"/>
          <w:szCs w:val="20"/>
        </w:rPr>
        <w:t xml:space="preserve">The Burndown Chart </w:t>
      </w:r>
      <w:r w:rsidR="006A2D5C">
        <w:rPr>
          <w:rFonts w:ascii="Verdana" w:hAnsi="Verdana"/>
          <w:sz w:val="20"/>
          <w:szCs w:val="20"/>
        </w:rPr>
        <w:t>can be compared to</w:t>
      </w:r>
      <w:r w:rsidR="00A13905">
        <w:rPr>
          <w:rFonts w:ascii="Verdana" w:hAnsi="Verdana"/>
          <w:sz w:val="20"/>
          <w:szCs w:val="20"/>
        </w:rPr>
        <w:t xml:space="preserve"> the Earned Value analysis</w:t>
      </w:r>
      <w:r w:rsidR="00D1007A">
        <w:rPr>
          <w:rFonts w:ascii="Verdana" w:hAnsi="Verdana"/>
          <w:sz w:val="20"/>
          <w:szCs w:val="20"/>
        </w:rPr>
        <w:t xml:space="preserve"> and Earned Value Projection </w:t>
      </w:r>
      <w:r w:rsidR="00FD230D">
        <w:rPr>
          <w:rFonts w:ascii="Verdana" w:hAnsi="Verdana"/>
          <w:sz w:val="20"/>
          <w:szCs w:val="20"/>
        </w:rPr>
        <w:t xml:space="preserve">in </w:t>
      </w:r>
      <w:r w:rsidR="00D1007A">
        <w:rPr>
          <w:rFonts w:ascii="Verdana" w:hAnsi="Verdana"/>
          <w:sz w:val="20"/>
          <w:szCs w:val="20"/>
        </w:rPr>
        <w:t>analysis which</w:t>
      </w:r>
      <w:r w:rsidR="00FD230D">
        <w:rPr>
          <w:rFonts w:ascii="Verdana" w:hAnsi="Verdana"/>
          <w:sz w:val="20"/>
          <w:szCs w:val="20"/>
        </w:rPr>
        <w:t xml:space="preserve"> shows</w:t>
      </w:r>
      <w:r w:rsidR="00D1007A">
        <w:rPr>
          <w:rFonts w:ascii="Verdana" w:hAnsi="Verdana"/>
          <w:sz w:val="20"/>
          <w:szCs w:val="20"/>
        </w:rPr>
        <w:t xml:space="preserve"> the SPI (Schedule Performance Index) </w:t>
      </w:r>
      <w:r w:rsidR="00FD13F9">
        <w:rPr>
          <w:rFonts w:ascii="Verdana" w:hAnsi="Verdana"/>
          <w:sz w:val="20"/>
          <w:szCs w:val="20"/>
        </w:rPr>
        <w:t xml:space="preserve">for teams Patel and </w:t>
      </w:r>
      <w:r w:rsidR="00B77CBA">
        <w:rPr>
          <w:rFonts w:ascii="Verdana" w:hAnsi="Verdana"/>
          <w:sz w:val="20"/>
          <w:szCs w:val="20"/>
        </w:rPr>
        <w:t>Phan</w:t>
      </w:r>
      <w:r w:rsidR="00FD13F9">
        <w:rPr>
          <w:rFonts w:ascii="Verdana" w:hAnsi="Verdana"/>
          <w:sz w:val="20"/>
          <w:szCs w:val="20"/>
        </w:rPr>
        <w:t xml:space="preserve"> are </w:t>
      </w:r>
      <w:r w:rsidR="00670AF8">
        <w:rPr>
          <w:rFonts w:ascii="Verdana" w:hAnsi="Verdana"/>
          <w:sz w:val="20"/>
          <w:szCs w:val="20"/>
        </w:rPr>
        <w:t xml:space="preserve">exactly </w:t>
      </w:r>
      <w:r w:rsidR="009C5819">
        <w:rPr>
          <w:rFonts w:ascii="Verdana" w:hAnsi="Verdana"/>
          <w:sz w:val="20"/>
          <w:szCs w:val="20"/>
        </w:rPr>
        <w:t xml:space="preserve">or close to </w:t>
      </w:r>
      <w:r w:rsidR="00FD13F9">
        <w:rPr>
          <w:rFonts w:ascii="Verdana" w:hAnsi="Verdana"/>
          <w:sz w:val="20"/>
          <w:szCs w:val="20"/>
        </w:rPr>
        <w:t>schedule.  The</w:t>
      </w:r>
      <w:r w:rsidR="007510F0">
        <w:rPr>
          <w:rFonts w:ascii="Verdana" w:hAnsi="Verdana"/>
          <w:sz w:val="20"/>
          <w:szCs w:val="20"/>
        </w:rPr>
        <w:t xml:space="preserve"> </w:t>
      </w:r>
      <w:r w:rsidR="00330F52">
        <w:rPr>
          <w:rFonts w:ascii="Verdana" w:hAnsi="Verdana"/>
          <w:sz w:val="20"/>
          <w:szCs w:val="20"/>
        </w:rPr>
        <w:t xml:space="preserve">SPIs for teams </w:t>
      </w:r>
      <w:r w:rsidR="007510F0">
        <w:rPr>
          <w:rFonts w:ascii="Verdana" w:hAnsi="Verdana"/>
          <w:sz w:val="20"/>
          <w:szCs w:val="20"/>
        </w:rPr>
        <w:t xml:space="preserve">Miller, </w:t>
      </w:r>
      <w:r w:rsidR="00330F52">
        <w:rPr>
          <w:rFonts w:ascii="Verdana" w:hAnsi="Verdana"/>
          <w:sz w:val="20"/>
          <w:szCs w:val="20"/>
        </w:rPr>
        <w:t>Johnson, Phan, and Thomas, which indica</w:t>
      </w:r>
      <w:r w:rsidR="00670AF8">
        <w:rPr>
          <w:rFonts w:ascii="Verdana" w:hAnsi="Verdana"/>
          <w:sz w:val="20"/>
          <w:szCs w:val="20"/>
        </w:rPr>
        <w:t>tes</w:t>
      </w:r>
      <w:r w:rsidR="000315CB">
        <w:rPr>
          <w:rFonts w:ascii="Verdana" w:hAnsi="Verdana"/>
          <w:sz w:val="20"/>
          <w:szCs w:val="20"/>
        </w:rPr>
        <w:t xml:space="preserve"> </w:t>
      </w:r>
      <w:r w:rsidR="000B01CD">
        <w:rPr>
          <w:rFonts w:ascii="Verdana" w:hAnsi="Verdana"/>
          <w:sz w:val="20"/>
          <w:szCs w:val="20"/>
        </w:rPr>
        <w:t>that they are behind</w:t>
      </w:r>
      <w:r w:rsidR="0099019F">
        <w:rPr>
          <w:rFonts w:ascii="Verdana" w:hAnsi="Verdana"/>
          <w:sz w:val="20"/>
          <w:szCs w:val="20"/>
        </w:rPr>
        <w:t xml:space="preserve"> schedule indicating more tasks are remaining. </w:t>
      </w:r>
      <w:r w:rsidR="00084A7C">
        <w:rPr>
          <w:rFonts w:ascii="Verdana" w:hAnsi="Verdana"/>
          <w:sz w:val="20"/>
          <w:szCs w:val="20"/>
        </w:rPr>
        <w:t>The differences between the Burndown Chart</w:t>
      </w:r>
      <w:r w:rsidR="00D8266A">
        <w:rPr>
          <w:rFonts w:ascii="Verdana" w:hAnsi="Verdana"/>
          <w:sz w:val="20"/>
          <w:szCs w:val="20"/>
        </w:rPr>
        <w:t xml:space="preserve"> and Earned Values analysis of SPI Specific Performance Index </w:t>
      </w:r>
      <w:r w:rsidR="00B51E76">
        <w:rPr>
          <w:rFonts w:ascii="Verdana" w:hAnsi="Verdana"/>
          <w:sz w:val="20"/>
          <w:szCs w:val="20"/>
        </w:rPr>
        <w:t>are</w:t>
      </w:r>
      <w:r w:rsidR="004F55CF">
        <w:rPr>
          <w:rFonts w:ascii="Verdana" w:hAnsi="Verdana"/>
          <w:sz w:val="20"/>
          <w:szCs w:val="20"/>
        </w:rPr>
        <w:t xml:space="preserve"> that SPI takes into consideration </w:t>
      </w:r>
      <w:r w:rsidR="00442D22">
        <w:rPr>
          <w:rFonts w:ascii="Verdana" w:hAnsi="Verdana"/>
          <w:sz w:val="20"/>
          <w:szCs w:val="20"/>
        </w:rPr>
        <w:t xml:space="preserve">the </w:t>
      </w:r>
      <w:r w:rsidR="00343F2F">
        <w:rPr>
          <w:rFonts w:ascii="Verdana" w:hAnsi="Verdana"/>
          <w:sz w:val="20"/>
          <w:szCs w:val="20"/>
        </w:rPr>
        <w:t>measure of schedule efficiency expressed as the ratio of Earned Value to Pl</w:t>
      </w:r>
      <w:r w:rsidR="00270BF7">
        <w:rPr>
          <w:rFonts w:ascii="Verdana" w:hAnsi="Verdana"/>
          <w:sz w:val="20"/>
          <w:szCs w:val="20"/>
        </w:rPr>
        <w:t xml:space="preserve">anned Value versus the Burndown Chart analysis of </w:t>
      </w:r>
      <w:r w:rsidR="006E3EA6">
        <w:rPr>
          <w:rFonts w:ascii="Verdana" w:hAnsi="Verdana"/>
          <w:sz w:val="20"/>
          <w:szCs w:val="20"/>
        </w:rPr>
        <w:t>number of days to complete the project, Ideal Burndown</w:t>
      </w:r>
      <w:r w:rsidR="00FF11AA">
        <w:rPr>
          <w:rFonts w:ascii="Verdana" w:hAnsi="Verdana"/>
          <w:sz w:val="20"/>
          <w:szCs w:val="20"/>
        </w:rPr>
        <w:t xml:space="preserve">, and the Actual Burndown.  </w:t>
      </w:r>
      <w:r w:rsidR="000315CB">
        <w:rPr>
          <w:rFonts w:ascii="Verdana" w:hAnsi="Verdana"/>
          <w:sz w:val="20"/>
          <w:szCs w:val="20"/>
        </w:rPr>
        <w:t xml:space="preserve">In analysis, </w:t>
      </w:r>
      <w:r w:rsidR="00570D3E">
        <w:rPr>
          <w:rFonts w:ascii="Verdana" w:hAnsi="Verdana"/>
          <w:sz w:val="20"/>
          <w:szCs w:val="20"/>
        </w:rPr>
        <w:t>team Thomas has not started work which compromises the analysis.</w:t>
      </w:r>
      <w:r w:rsidR="00D425C1">
        <w:rPr>
          <w:rFonts w:ascii="Verdana" w:hAnsi="Verdana"/>
          <w:sz w:val="20"/>
          <w:szCs w:val="20"/>
        </w:rPr>
        <w:t xml:space="preserve">  In final thought of team </w:t>
      </w:r>
      <w:r w:rsidR="004630D9">
        <w:rPr>
          <w:rFonts w:ascii="Verdana" w:hAnsi="Verdana"/>
          <w:sz w:val="20"/>
          <w:szCs w:val="20"/>
        </w:rPr>
        <w:t>performance,</w:t>
      </w:r>
      <w:r w:rsidR="00D425C1">
        <w:rPr>
          <w:rFonts w:ascii="Verdana" w:hAnsi="Verdana"/>
          <w:sz w:val="20"/>
          <w:szCs w:val="20"/>
        </w:rPr>
        <w:t xml:space="preserve"> it was a good idea in Sophia Miller</w:t>
      </w:r>
      <w:r w:rsidR="003C0296">
        <w:rPr>
          <w:rFonts w:ascii="Verdana" w:hAnsi="Verdana"/>
          <w:sz w:val="20"/>
          <w:szCs w:val="20"/>
        </w:rPr>
        <w:t>’s team to have interns help assuming the interns were not paid through the project</w:t>
      </w:r>
      <w:r w:rsidR="00B8365C">
        <w:rPr>
          <w:rFonts w:ascii="Verdana" w:hAnsi="Verdana"/>
          <w:sz w:val="20"/>
          <w:szCs w:val="20"/>
        </w:rPr>
        <w:t xml:space="preserve">.  </w:t>
      </w:r>
      <w:r w:rsidR="004630D9">
        <w:rPr>
          <w:rFonts w:ascii="Verdana" w:hAnsi="Verdana"/>
          <w:sz w:val="20"/>
          <w:szCs w:val="20"/>
        </w:rPr>
        <w:t>Also,</w:t>
      </w:r>
      <w:r w:rsidR="00B8365C">
        <w:rPr>
          <w:rFonts w:ascii="Verdana" w:hAnsi="Verdana"/>
          <w:sz w:val="20"/>
          <w:szCs w:val="20"/>
        </w:rPr>
        <w:t xml:space="preserve"> in Omar Thomas’s team junior level team </w:t>
      </w:r>
      <w:r w:rsidR="00366B11">
        <w:rPr>
          <w:rFonts w:ascii="Verdana" w:hAnsi="Verdana"/>
          <w:sz w:val="20"/>
          <w:szCs w:val="20"/>
        </w:rPr>
        <w:t>members’ labor were charged to professional development instead of the project.  It would be recommended</w:t>
      </w:r>
      <w:r w:rsidR="004F12ED">
        <w:rPr>
          <w:rFonts w:ascii="Verdana" w:hAnsi="Verdana"/>
          <w:sz w:val="20"/>
          <w:szCs w:val="20"/>
        </w:rPr>
        <w:t xml:space="preserve"> on my part to analyze tasks relatively enough in size to </w:t>
      </w:r>
      <w:r w:rsidR="00346B7A">
        <w:rPr>
          <w:rFonts w:ascii="Verdana" w:hAnsi="Verdana"/>
          <w:sz w:val="20"/>
          <w:szCs w:val="20"/>
        </w:rPr>
        <w:t>plan</w:t>
      </w:r>
      <w:r w:rsidR="004F12ED">
        <w:rPr>
          <w:rFonts w:ascii="Verdana" w:hAnsi="Verdana"/>
          <w:sz w:val="20"/>
          <w:szCs w:val="20"/>
        </w:rPr>
        <w:t xml:space="preserve"> to analyze WIP (work in progress)</w:t>
      </w:r>
      <w:r w:rsidR="0028471F">
        <w:rPr>
          <w:rFonts w:ascii="Verdana" w:hAnsi="Verdana"/>
          <w:sz w:val="20"/>
          <w:szCs w:val="20"/>
        </w:rPr>
        <w:t xml:space="preserve"> to reduce work scheduled load for tasks.</w:t>
      </w:r>
    </w:p>
    <w:p w14:paraId="4662E5A8" w14:textId="22D88190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 w:rsidRPr="001E434E">
        <w:rPr>
          <w:rFonts w:ascii="Verdana" w:hAnsi="Verdana"/>
          <w:b/>
          <w:sz w:val="20"/>
          <w:szCs w:val="20"/>
        </w:rPr>
        <w:t xml:space="preserve">E. </w:t>
      </w:r>
      <w:r w:rsidR="00DE49AE" w:rsidRPr="001E434E">
        <w:rPr>
          <w:rFonts w:ascii="Verdana" w:hAnsi="Verdana"/>
          <w:b/>
          <w:sz w:val="20"/>
          <w:szCs w:val="20"/>
        </w:rPr>
        <w:t>Mitigation Plan</w:t>
      </w:r>
    </w:p>
    <w:p w14:paraId="4F208E96" w14:textId="75BA85A5" w:rsidR="00095BF9" w:rsidRDefault="0078319F" w:rsidP="00095BF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section discusses </w:t>
      </w:r>
      <w:r w:rsidRPr="00FA2688">
        <w:rPr>
          <w:rFonts w:ascii="Verdana" w:hAnsi="Verdana"/>
          <w:b/>
          <w:bCs/>
          <w:sz w:val="20"/>
          <w:szCs w:val="20"/>
        </w:rPr>
        <w:t>three mitigation strategies</w:t>
      </w:r>
      <w:r>
        <w:rPr>
          <w:rFonts w:ascii="Verdana" w:hAnsi="Verdana"/>
          <w:sz w:val="20"/>
          <w:szCs w:val="20"/>
        </w:rPr>
        <w:t xml:space="preserve"> for three teams</w:t>
      </w:r>
      <w:r w:rsidR="006111DB">
        <w:rPr>
          <w:rFonts w:ascii="Verdana" w:hAnsi="Verdana"/>
          <w:sz w:val="20"/>
          <w:szCs w:val="20"/>
        </w:rPr>
        <w:t xml:space="preserve"> </w:t>
      </w:r>
      <w:r w:rsidR="00EB2820">
        <w:rPr>
          <w:rFonts w:ascii="Verdana" w:hAnsi="Verdana"/>
          <w:sz w:val="20"/>
          <w:szCs w:val="20"/>
        </w:rPr>
        <w:t>Sophia Miller, Dan</w:t>
      </w:r>
      <w:r w:rsidR="006111DB">
        <w:rPr>
          <w:rFonts w:ascii="Verdana" w:hAnsi="Verdana"/>
          <w:sz w:val="20"/>
          <w:szCs w:val="20"/>
        </w:rPr>
        <w:t>iel Johnson, and Talia Phan.</w:t>
      </w:r>
    </w:p>
    <w:p w14:paraId="0FA5FC9C" w14:textId="6DD8B546" w:rsidR="00FA2688" w:rsidRDefault="00FA2688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DAF3F02" w14:textId="563DCE36" w:rsidR="00FA2688" w:rsidRDefault="00A80D9F" w:rsidP="00095BF9">
      <w:pPr>
        <w:spacing w:after="0" w:line="240" w:lineRule="auto"/>
        <w:rPr>
          <w:rFonts w:ascii="Verdana" w:hAnsi="Verdana"/>
          <w:sz w:val="20"/>
          <w:szCs w:val="20"/>
        </w:rPr>
      </w:pPr>
      <w:r w:rsidRPr="00CE6837">
        <w:rPr>
          <w:rFonts w:ascii="Verdana" w:hAnsi="Verdana"/>
          <w:b/>
          <w:bCs/>
          <w:sz w:val="20"/>
          <w:szCs w:val="20"/>
        </w:rPr>
        <w:t>First strategy</w:t>
      </w:r>
      <w:r>
        <w:rPr>
          <w:rFonts w:ascii="Verdana" w:hAnsi="Verdana"/>
          <w:sz w:val="20"/>
          <w:szCs w:val="20"/>
        </w:rPr>
        <w:t xml:space="preserve"> </w:t>
      </w:r>
      <w:r w:rsidR="00857A32"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sz w:val="20"/>
          <w:szCs w:val="20"/>
        </w:rPr>
        <w:t>for Sophia Miller</w:t>
      </w:r>
      <w:r w:rsidR="00857A32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team.  </w:t>
      </w:r>
      <w:r w:rsidR="00391547">
        <w:rPr>
          <w:rFonts w:ascii="Verdana" w:hAnsi="Verdana"/>
          <w:sz w:val="20"/>
          <w:szCs w:val="20"/>
        </w:rPr>
        <w:t xml:space="preserve">Miller’s team </w:t>
      </w:r>
      <w:r w:rsidR="00391547" w:rsidRPr="00701BA3">
        <w:rPr>
          <w:rFonts w:ascii="Verdana" w:hAnsi="Verdana"/>
          <w:b/>
          <w:bCs/>
          <w:sz w:val="20"/>
          <w:szCs w:val="20"/>
        </w:rPr>
        <w:t>issue</w:t>
      </w:r>
      <w:r w:rsidR="00391547">
        <w:rPr>
          <w:rFonts w:ascii="Verdana" w:hAnsi="Verdana"/>
          <w:sz w:val="20"/>
          <w:szCs w:val="20"/>
        </w:rPr>
        <w:t xml:space="preserve"> was that they were over</w:t>
      </w:r>
      <w:r w:rsidR="00523B3F">
        <w:rPr>
          <w:rFonts w:ascii="Verdana" w:hAnsi="Verdana"/>
          <w:sz w:val="20"/>
          <w:szCs w:val="20"/>
        </w:rPr>
        <w:t xml:space="preserve"> the</w:t>
      </w:r>
      <w:r w:rsidR="00391547">
        <w:rPr>
          <w:rFonts w:ascii="Verdana" w:hAnsi="Verdana"/>
          <w:sz w:val="20"/>
          <w:szCs w:val="20"/>
        </w:rPr>
        <w:t xml:space="preserve"> budge</w:t>
      </w:r>
      <w:r w:rsidR="00D2017C">
        <w:rPr>
          <w:rFonts w:ascii="Verdana" w:hAnsi="Verdana"/>
          <w:sz w:val="20"/>
          <w:szCs w:val="20"/>
        </w:rPr>
        <w:t xml:space="preserve">t by $1,161. </w:t>
      </w:r>
      <w:r w:rsidR="00391547">
        <w:rPr>
          <w:rFonts w:ascii="Verdana" w:hAnsi="Verdana"/>
          <w:sz w:val="20"/>
          <w:szCs w:val="20"/>
        </w:rPr>
        <w:t>They were spending more money on labor to do the tasks according</w:t>
      </w:r>
      <w:r w:rsidR="008A01C4">
        <w:rPr>
          <w:rFonts w:ascii="Verdana" w:hAnsi="Verdana"/>
          <w:sz w:val="20"/>
          <w:szCs w:val="20"/>
        </w:rPr>
        <w:t xml:space="preserve"> to the CPI (Completion Performance Index)</w:t>
      </w:r>
      <w:r w:rsidR="00F16B5A">
        <w:rPr>
          <w:rFonts w:ascii="Verdana" w:hAnsi="Verdana"/>
          <w:sz w:val="20"/>
          <w:szCs w:val="20"/>
        </w:rPr>
        <w:t xml:space="preserve"> of 0.84</w:t>
      </w:r>
      <w:r w:rsidR="00E25995">
        <w:rPr>
          <w:rFonts w:ascii="Verdana" w:hAnsi="Verdana"/>
          <w:sz w:val="20"/>
          <w:szCs w:val="20"/>
        </w:rPr>
        <w:t>.</w:t>
      </w:r>
      <w:r w:rsidR="008A01C4">
        <w:rPr>
          <w:rFonts w:ascii="Verdana" w:hAnsi="Verdana"/>
          <w:sz w:val="20"/>
          <w:szCs w:val="20"/>
        </w:rPr>
        <w:t xml:space="preserve"> As project manager</w:t>
      </w:r>
      <w:r w:rsidR="00FF5E60">
        <w:rPr>
          <w:rFonts w:ascii="Verdana" w:hAnsi="Verdana"/>
          <w:sz w:val="20"/>
          <w:szCs w:val="20"/>
        </w:rPr>
        <w:t xml:space="preserve"> I need to address my concerns to Miller’s team about budget discrepancy in a </w:t>
      </w:r>
      <w:r w:rsidR="00852832">
        <w:rPr>
          <w:rFonts w:ascii="Verdana" w:hAnsi="Verdana"/>
          <w:sz w:val="20"/>
          <w:szCs w:val="20"/>
        </w:rPr>
        <w:t xml:space="preserve">meeting.  I am going to introduce a Mitigation Plan to evaluate the number of hours spend on a task or tasks.  </w:t>
      </w:r>
      <w:r w:rsidR="00A13878">
        <w:rPr>
          <w:rFonts w:ascii="Verdana" w:hAnsi="Verdana"/>
          <w:sz w:val="20"/>
          <w:szCs w:val="20"/>
        </w:rPr>
        <w:t>Also as reading the status report for Sophia Miller which stated the team had help</w:t>
      </w:r>
      <w:r w:rsidR="00F076B1">
        <w:rPr>
          <w:rFonts w:ascii="Verdana" w:hAnsi="Verdana"/>
          <w:sz w:val="20"/>
          <w:szCs w:val="20"/>
        </w:rPr>
        <w:t xml:space="preserve"> from interns.  The interns could be the factor for the over </w:t>
      </w:r>
      <w:r w:rsidR="004E520A">
        <w:rPr>
          <w:rFonts w:ascii="Verdana" w:hAnsi="Verdana"/>
          <w:sz w:val="20"/>
          <w:szCs w:val="20"/>
        </w:rPr>
        <w:t>the budget labor costs</w:t>
      </w:r>
      <w:r w:rsidR="00575192">
        <w:rPr>
          <w:rFonts w:ascii="Verdana" w:hAnsi="Verdana"/>
          <w:sz w:val="20"/>
          <w:szCs w:val="20"/>
        </w:rPr>
        <w:t xml:space="preserve"> because of training.  Furthermore, I would try to </w:t>
      </w:r>
      <w:r w:rsidR="00575192" w:rsidRPr="0045159F">
        <w:rPr>
          <w:rFonts w:ascii="Verdana" w:hAnsi="Verdana"/>
          <w:b/>
          <w:bCs/>
          <w:sz w:val="20"/>
          <w:szCs w:val="20"/>
        </w:rPr>
        <w:t>mitigate</w:t>
      </w:r>
      <w:r w:rsidR="00575192">
        <w:rPr>
          <w:rFonts w:ascii="Verdana" w:hAnsi="Verdana"/>
          <w:sz w:val="20"/>
          <w:szCs w:val="20"/>
        </w:rPr>
        <w:t xml:space="preserve"> the issue over the</w:t>
      </w:r>
      <w:r w:rsidR="009D4B80">
        <w:rPr>
          <w:rFonts w:ascii="Verdana" w:hAnsi="Verdana"/>
          <w:sz w:val="20"/>
          <w:szCs w:val="20"/>
        </w:rPr>
        <w:t xml:space="preserve"> budget expenditure to compress the schedule if needed to have someone assigned to a task who works faster</w:t>
      </w:r>
      <w:r w:rsidR="00077F86">
        <w:rPr>
          <w:rFonts w:ascii="Verdana" w:hAnsi="Verdana"/>
          <w:sz w:val="20"/>
          <w:szCs w:val="20"/>
        </w:rPr>
        <w:t xml:space="preserve"> than interns who need training.  Lastly, Miller’s team SPI (Schedule</w:t>
      </w:r>
      <w:r w:rsidR="00E56957">
        <w:rPr>
          <w:rFonts w:ascii="Verdana" w:hAnsi="Verdana"/>
          <w:sz w:val="20"/>
          <w:szCs w:val="20"/>
        </w:rPr>
        <w:t xml:space="preserve"> Performance Index)</w:t>
      </w:r>
      <w:r w:rsidR="003D5D01">
        <w:rPr>
          <w:rFonts w:ascii="Verdana" w:hAnsi="Verdana"/>
          <w:sz w:val="20"/>
          <w:szCs w:val="20"/>
        </w:rPr>
        <w:t xml:space="preserve"> of 0.87</w:t>
      </w:r>
      <w:r w:rsidR="00E56957">
        <w:rPr>
          <w:rFonts w:ascii="Verdana" w:hAnsi="Verdana"/>
          <w:sz w:val="20"/>
          <w:szCs w:val="20"/>
        </w:rPr>
        <w:t xml:space="preserve"> indicates this team is </w:t>
      </w:r>
      <w:r w:rsidR="001D4647">
        <w:rPr>
          <w:rFonts w:ascii="Verdana" w:hAnsi="Verdana"/>
          <w:sz w:val="20"/>
          <w:szCs w:val="20"/>
        </w:rPr>
        <w:t>behind</w:t>
      </w:r>
      <w:r w:rsidR="00E56957">
        <w:rPr>
          <w:rFonts w:ascii="Verdana" w:hAnsi="Verdana"/>
          <w:sz w:val="20"/>
          <w:szCs w:val="20"/>
        </w:rPr>
        <w:t xml:space="preserve"> schedule</w:t>
      </w:r>
      <w:r w:rsidR="00820702">
        <w:rPr>
          <w:rFonts w:ascii="Verdana" w:hAnsi="Verdana"/>
          <w:sz w:val="20"/>
          <w:szCs w:val="20"/>
        </w:rPr>
        <w:t>.</w:t>
      </w:r>
      <w:r w:rsidR="00215830">
        <w:rPr>
          <w:rFonts w:ascii="Verdana" w:hAnsi="Verdana"/>
          <w:sz w:val="20"/>
          <w:szCs w:val="20"/>
        </w:rPr>
        <w:t xml:space="preserve"> T</w:t>
      </w:r>
      <w:r w:rsidR="004C5DD6">
        <w:rPr>
          <w:rFonts w:ascii="Verdana" w:hAnsi="Verdana"/>
          <w:sz w:val="20"/>
          <w:szCs w:val="20"/>
        </w:rPr>
        <w:t xml:space="preserve">he Burndown Chart which showed Actual Burndown line below </w:t>
      </w:r>
      <w:r w:rsidR="00DE5D1E">
        <w:rPr>
          <w:rFonts w:ascii="Verdana" w:hAnsi="Verdana"/>
          <w:sz w:val="20"/>
          <w:szCs w:val="20"/>
        </w:rPr>
        <w:t>the Ideal Burndown line</w:t>
      </w:r>
      <w:r w:rsidR="00820702">
        <w:rPr>
          <w:rFonts w:ascii="Verdana" w:hAnsi="Verdana"/>
          <w:sz w:val="20"/>
          <w:szCs w:val="20"/>
        </w:rPr>
        <w:t xml:space="preserve"> which shows tasks completed up to day 12 from start date</w:t>
      </w:r>
      <w:r w:rsidR="00477C55">
        <w:rPr>
          <w:rFonts w:ascii="Verdana" w:hAnsi="Verdana"/>
          <w:sz w:val="20"/>
          <w:szCs w:val="20"/>
        </w:rPr>
        <w:t xml:space="preserve"> this analysis </w:t>
      </w:r>
      <w:r w:rsidR="00E21513">
        <w:rPr>
          <w:rFonts w:ascii="Verdana" w:hAnsi="Verdana"/>
          <w:sz w:val="20"/>
          <w:szCs w:val="20"/>
        </w:rPr>
        <w:t>shows that the Miller team completed</w:t>
      </w:r>
      <w:r w:rsidR="00570FF4">
        <w:rPr>
          <w:rFonts w:ascii="Verdana" w:hAnsi="Verdana"/>
          <w:sz w:val="20"/>
          <w:szCs w:val="20"/>
        </w:rPr>
        <w:t xml:space="preserve"> </w:t>
      </w:r>
      <w:r w:rsidR="002C013C">
        <w:rPr>
          <w:rFonts w:ascii="Verdana" w:hAnsi="Verdana"/>
          <w:sz w:val="20"/>
          <w:szCs w:val="20"/>
        </w:rPr>
        <w:t>about 3 tasks</w:t>
      </w:r>
      <w:r w:rsidR="002D4DDA">
        <w:rPr>
          <w:rFonts w:ascii="Verdana" w:hAnsi="Verdana"/>
          <w:sz w:val="20"/>
          <w:szCs w:val="20"/>
        </w:rPr>
        <w:t xml:space="preserve"> </w:t>
      </w:r>
      <w:r w:rsidR="00B744A6">
        <w:rPr>
          <w:rFonts w:ascii="Verdana" w:hAnsi="Verdana"/>
          <w:sz w:val="20"/>
          <w:szCs w:val="20"/>
        </w:rPr>
        <w:t>according to</w:t>
      </w:r>
      <w:r w:rsidR="002D4DDA">
        <w:rPr>
          <w:rFonts w:ascii="Verdana" w:hAnsi="Verdana"/>
          <w:sz w:val="20"/>
          <w:szCs w:val="20"/>
        </w:rPr>
        <w:t xml:space="preserve"> the Gantt Chart.</w:t>
      </w:r>
      <w:r w:rsidR="00DE5D1E">
        <w:rPr>
          <w:rFonts w:ascii="Verdana" w:hAnsi="Verdana"/>
          <w:sz w:val="20"/>
          <w:szCs w:val="20"/>
        </w:rPr>
        <w:t xml:space="preserve"> Miller’s </w:t>
      </w:r>
      <w:r w:rsidR="009A0A71">
        <w:rPr>
          <w:rFonts w:ascii="Verdana" w:hAnsi="Verdana"/>
          <w:sz w:val="20"/>
          <w:szCs w:val="20"/>
        </w:rPr>
        <w:t>team will</w:t>
      </w:r>
      <w:r w:rsidR="00E936C8">
        <w:rPr>
          <w:rFonts w:ascii="Verdana" w:hAnsi="Verdana"/>
          <w:sz w:val="20"/>
          <w:szCs w:val="20"/>
        </w:rPr>
        <w:t xml:space="preserve"> complete their portion of the project in 7 days behind schedule </w:t>
      </w:r>
      <w:r w:rsidR="00D727C9">
        <w:rPr>
          <w:rFonts w:ascii="Verdana" w:hAnsi="Verdana"/>
          <w:sz w:val="20"/>
          <w:szCs w:val="20"/>
        </w:rPr>
        <w:t>by only 1 day accordingly just after 12 days after the start of the pro</w:t>
      </w:r>
      <w:r w:rsidR="00733C21">
        <w:rPr>
          <w:rFonts w:ascii="Verdana" w:hAnsi="Verdana"/>
          <w:sz w:val="20"/>
          <w:szCs w:val="20"/>
        </w:rPr>
        <w:t xml:space="preserve">ject.  The </w:t>
      </w:r>
      <w:r w:rsidR="00B744A6">
        <w:rPr>
          <w:rFonts w:ascii="Verdana" w:hAnsi="Verdana"/>
          <w:sz w:val="20"/>
          <w:szCs w:val="20"/>
        </w:rPr>
        <w:t>1-day</w:t>
      </w:r>
      <w:r w:rsidR="00733C21">
        <w:rPr>
          <w:rFonts w:ascii="Verdana" w:hAnsi="Verdana"/>
          <w:sz w:val="20"/>
          <w:szCs w:val="20"/>
        </w:rPr>
        <w:t xml:space="preserve"> difference can be improved by having a team member who works faster or else divide the</w:t>
      </w:r>
      <w:r w:rsidR="00F160A1">
        <w:rPr>
          <w:rFonts w:ascii="Verdana" w:hAnsi="Verdana"/>
          <w:sz w:val="20"/>
          <w:szCs w:val="20"/>
        </w:rPr>
        <w:t xml:space="preserve"> task to different sections assigned to several team members.</w:t>
      </w:r>
    </w:p>
    <w:p w14:paraId="0B609042" w14:textId="128ADF10" w:rsidR="000239DD" w:rsidRDefault="000239DD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49C2D4B" w14:textId="441A3889" w:rsidR="000239DD" w:rsidRDefault="00B81189" w:rsidP="00095BF9">
      <w:pPr>
        <w:spacing w:after="0" w:line="240" w:lineRule="auto"/>
        <w:rPr>
          <w:rFonts w:ascii="Verdana" w:hAnsi="Verdana"/>
          <w:sz w:val="20"/>
          <w:szCs w:val="20"/>
        </w:rPr>
      </w:pPr>
      <w:r w:rsidRPr="00513896">
        <w:rPr>
          <w:rFonts w:ascii="Verdana" w:hAnsi="Verdana"/>
          <w:b/>
          <w:bCs/>
          <w:sz w:val="20"/>
          <w:szCs w:val="20"/>
        </w:rPr>
        <w:t>Second strategy</w:t>
      </w:r>
      <w:r>
        <w:rPr>
          <w:rFonts w:ascii="Verdana" w:hAnsi="Verdana"/>
          <w:sz w:val="20"/>
          <w:szCs w:val="20"/>
        </w:rPr>
        <w:t xml:space="preserve"> is for Daniel</w:t>
      </w:r>
      <w:r w:rsidR="00F072A4">
        <w:rPr>
          <w:rFonts w:ascii="Verdana" w:hAnsi="Verdana"/>
          <w:sz w:val="20"/>
          <w:szCs w:val="20"/>
        </w:rPr>
        <w:t xml:space="preserve"> Johnson’s team </w:t>
      </w:r>
      <w:r w:rsidR="00F072A4" w:rsidRPr="00432D66">
        <w:rPr>
          <w:rFonts w:ascii="Verdana" w:hAnsi="Verdana"/>
          <w:b/>
          <w:bCs/>
          <w:sz w:val="20"/>
          <w:szCs w:val="20"/>
        </w:rPr>
        <w:t>issue</w:t>
      </w:r>
      <w:r w:rsidR="00F072A4">
        <w:rPr>
          <w:rFonts w:ascii="Verdana" w:hAnsi="Verdana"/>
          <w:sz w:val="20"/>
          <w:szCs w:val="20"/>
        </w:rPr>
        <w:t xml:space="preserve"> for SPI (Schedule Performance Index)</w:t>
      </w:r>
      <w:r w:rsidR="00141AC9">
        <w:rPr>
          <w:rFonts w:ascii="Verdana" w:hAnsi="Verdana"/>
          <w:sz w:val="20"/>
          <w:szCs w:val="20"/>
        </w:rPr>
        <w:t xml:space="preserve"> </w:t>
      </w:r>
      <w:r w:rsidR="0080595B">
        <w:rPr>
          <w:rFonts w:ascii="Verdana" w:hAnsi="Verdana"/>
          <w:sz w:val="20"/>
          <w:szCs w:val="20"/>
        </w:rPr>
        <w:t>of 0.</w:t>
      </w:r>
      <w:r w:rsidR="006272F6">
        <w:rPr>
          <w:rFonts w:ascii="Verdana" w:hAnsi="Verdana"/>
          <w:sz w:val="20"/>
          <w:szCs w:val="20"/>
        </w:rPr>
        <w:t>96</w:t>
      </w:r>
      <w:r w:rsidR="00487572">
        <w:rPr>
          <w:rFonts w:ascii="Verdana" w:hAnsi="Verdana"/>
          <w:sz w:val="20"/>
          <w:szCs w:val="20"/>
        </w:rPr>
        <w:t xml:space="preserve"> indicates this team performance was behind schedule plus</w:t>
      </w:r>
      <w:r w:rsidR="00297141">
        <w:rPr>
          <w:rFonts w:ascii="Verdana" w:hAnsi="Verdana"/>
          <w:sz w:val="20"/>
          <w:szCs w:val="20"/>
        </w:rPr>
        <w:t xml:space="preserve"> the Burndown Chart indicates team being ahead of schedule</w:t>
      </w:r>
      <w:r w:rsidR="001C78F0">
        <w:rPr>
          <w:rFonts w:ascii="Verdana" w:hAnsi="Verdana"/>
          <w:sz w:val="20"/>
          <w:szCs w:val="20"/>
        </w:rPr>
        <w:t xml:space="preserve"> to a certain date.</w:t>
      </w:r>
      <w:r w:rsidR="006661ED">
        <w:rPr>
          <w:rFonts w:ascii="Verdana" w:hAnsi="Verdana"/>
          <w:sz w:val="20"/>
          <w:szCs w:val="20"/>
        </w:rPr>
        <w:t xml:space="preserve"> </w:t>
      </w:r>
      <w:r w:rsidR="00742B6F">
        <w:rPr>
          <w:rFonts w:ascii="Verdana" w:hAnsi="Verdana"/>
          <w:sz w:val="20"/>
          <w:szCs w:val="20"/>
        </w:rPr>
        <w:t>To</w:t>
      </w:r>
      <w:r w:rsidR="00EA5D88">
        <w:rPr>
          <w:rFonts w:ascii="Verdana" w:hAnsi="Verdana"/>
          <w:sz w:val="20"/>
          <w:szCs w:val="20"/>
        </w:rPr>
        <w:t xml:space="preserve"> </w:t>
      </w:r>
      <w:r w:rsidR="00EA5D88" w:rsidRPr="00B809E8">
        <w:rPr>
          <w:rFonts w:ascii="Verdana" w:hAnsi="Verdana"/>
          <w:b/>
          <w:bCs/>
          <w:sz w:val="20"/>
          <w:szCs w:val="20"/>
        </w:rPr>
        <w:t>mitigate</w:t>
      </w:r>
      <w:r w:rsidR="00EA5D88">
        <w:rPr>
          <w:rFonts w:ascii="Verdana" w:hAnsi="Verdana"/>
          <w:sz w:val="20"/>
          <w:szCs w:val="20"/>
        </w:rPr>
        <w:t xml:space="preserve"> the issue for </w:t>
      </w:r>
      <w:r w:rsidR="00EA5D88">
        <w:rPr>
          <w:rFonts w:ascii="Verdana" w:hAnsi="Verdana"/>
          <w:sz w:val="20"/>
          <w:szCs w:val="20"/>
        </w:rPr>
        <w:lastRenderedPageBreak/>
        <w:t xml:space="preserve">Johnson’s team </w:t>
      </w:r>
      <w:r w:rsidR="00051470">
        <w:rPr>
          <w:rFonts w:ascii="Verdana" w:hAnsi="Verdana"/>
          <w:sz w:val="20"/>
          <w:szCs w:val="20"/>
        </w:rPr>
        <w:t xml:space="preserve">by </w:t>
      </w:r>
      <w:r w:rsidR="00EA5D88">
        <w:rPr>
          <w:rFonts w:ascii="Verdana" w:hAnsi="Verdana"/>
          <w:sz w:val="20"/>
          <w:szCs w:val="20"/>
        </w:rPr>
        <w:t xml:space="preserve">changing the scope of the project </w:t>
      </w:r>
      <w:r w:rsidR="00E631DE">
        <w:rPr>
          <w:rFonts w:ascii="Verdana" w:hAnsi="Verdana"/>
          <w:sz w:val="20"/>
          <w:szCs w:val="20"/>
        </w:rPr>
        <w:t>to reduce or adjust things for the biggest impact.  Since this team is not on the critical</w:t>
      </w:r>
      <w:r w:rsidR="00A2066A">
        <w:rPr>
          <w:rFonts w:ascii="Verdana" w:hAnsi="Verdana"/>
          <w:sz w:val="20"/>
          <w:szCs w:val="20"/>
        </w:rPr>
        <w:t xml:space="preserve"> path according to the Gantt Chart I would have initiated working on tasks</w:t>
      </w:r>
      <w:r w:rsidR="00593BD8">
        <w:rPr>
          <w:rFonts w:ascii="Verdana" w:hAnsi="Verdana"/>
          <w:sz w:val="20"/>
          <w:szCs w:val="20"/>
        </w:rPr>
        <w:t xml:space="preserve"> on the first day of the start of the total project.  Likewise, in the Burndown Chart shows this team</w:t>
      </w:r>
      <w:r w:rsidR="00587E76">
        <w:rPr>
          <w:rFonts w:ascii="Verdana" w:hAnsi="Verdana"/>
          <w:sz w:val="20"/>
          <w:szCs w:val="20"/>
        </w:rPr>
        <w:t xml:space="preserve"> was only on schedule for 13%</w:t>
      </w:r>
      <w:r w:rsidR="001023BC">
        <w:rPr>
          <w:rFonts w:ascii="Verdana" w:hAnsi="Verdana"/>
          <w:sz w:val="20"/>
          <w:szCs w:val="20"/>
        </w:rPr>
        <w:t xml:space="preserve"> of the time and the rest of the days had shown that they were </w:t>
      </w:r>
      <w:r w:rsidR="00FF7AD8">
        <w:rPr>
          <w:rFonts w:ascii="Verdana" w:hAnsi="Verdana"/>
          <w:sz w:val="20"/>
          <w:szCs w:val="20"/>
        </w:rPr>
        <w:t xml:space="preserve">more tasks remaining behind schedule.  It was apparent according to the </w:t>
      </w:r>
      <w:r w:rsidR="002067D8">
        <w:rPr>
          <w:rFonts w:ascii="Verdana" w:hAnsi="Verdana"/>
          <w:sz w:val="20"/>
          <w:szCs w:val="20"/>
        </w:rPr>
        <w:t xml:space="preserve">status report this team was having problems with the old backup system locating possible duplicates of files.  This team was </w:t>
      </w:r>
      <w:r w:rsidR="00AA1B68">
        <w:rPr>
          <w:rFonts w:ascii="Verdana" w:hAnsi="Verdana"/>
          <w:sz w:val="20"/>
          <w:szCs w:val="20"/>
        </w:rPr>
        <w:t>n</w:t>
      </w:r>
      <w:r w:rsidR="000E529F">
        <w:rPr>
          <w:rFonts w:ascii="Verdana" w:hAnsi="Verdana"/>
          <w:sz w:val="20"/>
          <w:szCs w:val="20"/>
        </w:rPr>
        <w:t xml:space="preserve">ot </w:t>
      </w:r>
      <w:r w:rsidR="002067D8">
        <w:rPr>
          <w:rFonts w:ascii="Verdana" w:hAnsi="Verdana"/>
          <w:sz w:val="20"/>
          <w:szCs w:val="20"/>
        </w:rPr>
        <w:t>sure how to</w:t>
      </w:r>
      <w:r w:rsidR="00C24B72">
        <w:rPr>
          <w:rFonts w:ascii="Verdana" w:hAnsi="Verdana"/>
          <w:sz w:val="20"/>
          <w:szCs w:val="20"/>
        </w:rPr>
        <w:t xml:space="preserve"> approach the issue of the old backup system.  I was just hired 12 days after the project started so If I was hired before the </w:t>
      </w:r>
      <w:r w:rsidR="00994922">
        <w:rPr>
          <w:rFonts w:ascii="Verdana" w:hAnsi="Verdana"/>
          <w:sz w:val="20"/>
          <w:szCs w:val="20"/>
        </w:rPr>
        <w:t>start of the project I could have mitigated the old system backup problem with some advisement</w:t>
      </w:r>
      <w:r w:rsidR="00746597">
        <w:rPr>
          <w:rFonts w:ascii="Verdana" w:hAnsi="Verdana"/>
          <w:sz w:val="20"/>
          <w:szCs w:val="20"/>
        </w:rPr>
        <w:t>. It was apparent the IT director had no input</w:t>
      </w:r>
      <w:r w:rsidR="00032889">
        <w:rPr>
          <w:rFonts w:ascii="Verdana" w:hAnsi="Verdana"/>
          <w:sz w:val="20"/>
          <w:szCs w:val="20"/>
        </w:rPr>
        <w:t xml:space="preserve"> or output for advising the team.</w:t>
      </w:r>
    </w:p>
    <w:p w14:paraId="5DC96F08" w14:textId="13B578ED" w:rsidR="004F0275" w:rsidRDefault="004F0275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3ECC89B" w14:textId="1B7E7BF2" w:rsidR="004F0275" w:rsidRDefault="00311086" w:rsidP="00095BF9">
      <w:pPr>
        <w:spacing w:after="0" w:line="240" w:lineRule="auto"/>
        <w:rPr>
          <w:rFonts w:ascii="Verdana" w:hAnsi="Verdana"/>
          <w:sz w:val="20"/>
          <w:szCs w:val="20"/>
        </w:rPr>
      </w:pPr>
      <w:r w:rsidRPr="00C72668">
        <w:rPr>
          <w:rFonts w:ascii="Verdana" w:hAnsi="Verdana"/>
          <w:b/>
          <w:bCs/>
          <w:sz w:val="20"/>
          <w:szCs w:val="20"/>
        </w:rPr>
        <w:t>Third strategy</w:t>
      </w:r>
      <w:r w:rsidR="003B561A">
        <w:rPr>
          <w:rFonts w:ascii="Verdana" w:hAnsi="Verdana"/>
          <w:b/>
          <w:bCs/>
          <w:sz w:val="20"/>
          <w:szCs w:val="20"/>
        </w:rPr>
        <w:t xml:space="preserve"> </w:t>
      </w:r>
      <w:r w:rsidR="003B561A" w:rsidRPr="003B561A">
        <w:rPr>
          <w:rFonts w:ascii="Verdana" w:hAnsi="Verdana"/>
          <w:sz w:val="20"/>
          <w:szCs w:val="20"/>
        </w:rPr>
        <w:t>for the</w:t>
      </w:r>
      <w:r w:rsidR="00730E8B">
        <w:rPr>
          <w:rFonts w:ascii="Verdana" w:hAnsi="Verdana"/>
          <w:sz w:val="20"/>
          <w:szCs w:val="20"/>
        </w:rPr>
        <w:t xml:space="preserve"> t</w:t>
      </w:r>
      <w:r w:rsidR="003B561A" w:rsidRPr="003B561A">
        <w:rPr>
          <w:rFonts w:ascii="Verdana" w:hAnsi="Verdana"/>
          <w:sz w:val="20"/>
          <w:szCs w:val="20"/>
        </w:rPr>
        <w:t>eam Talia Phan</w:t>
      </w:r>
      <w:r w:rsidR="003B561A">
        <w:rPr>
          <w:rFonts w:ascii="Verdana" w:hAnsi="Verdana"/>
          <w:sz w:val="20"/>
          <w:szCs w:val="20"/>
        </w:rPr>
        <w:t xml:space="preserve"> – under the budget by $270 according to CV which indicates this team was short by almost 4 hours. According to CPI of 1.11 this team spend under the planned cost of 0.11 justifies what the number calculation stated in CV metrics.  On the other hand, SPI of </w:t>
      </w:r>
      <w:r w:rsidR="00866014">
        <w:rPr>
          <w:rFonts w:ascii="Verdana" w:hAnsi="Verdana"/>
          <w:sz w:val="20"/>
          <w:szCs w:val="20"/>
        </w:rPr>
        <w:t>1.95</w:t>
      </w:r>
      <w:r w:rsidR="003B561A">
        <w:rPr>
          <w:rFonts w:ascii="Verdana" w:hAnsi="Verdana"/>
          <w:sz w:val="20"/>
          <w:szCs w:val="20"/>
        </w:rPr>
        <w:t xml:space="preserve"> calculation indicates this team performance was </w:t>
      </w:r>
      <w:r w:rsidR="00F25488">
        <w:rPr>
          <w:rFonts w:ascii="Verdana" w:hAnsi="Verdana"/>
          <w:sz w:val="20"/>
          <w:szCs w:val="20"/>
        </w:rPr>
        <w:t>ahead</w:t>
      </w:r>
      <w:r w:rsidR="003B561A">
        <w:rPr>
          <w:rFonts w:ascii="Verdana" w:hAnsi="Verdana"/>
          <w:sz w:val="20"/>
          <w:szCs w:val="20"/>
        </w:rPr>
        <w:t xml:space="preserve"> to schedule. </w:t>
      </w:r>
      <w:r w:rsidR="00EE3EBD">
        <w:rPr>
          <w:rFonts w:ascii="Verdana" w:hAnsi="Verdana"/>
          <w:sz w:val="20"/>
          <w:szCs w:val="20"/>
        </w:rPr>
        <w:t xml:space="preserve">Yet according to the </w:t>
      </w:r>
      <w:r w:rsidR="00B916F9">
        <w:rPr>
          <w:rFonts w:ascii="Verdana" w:hAnsi="Verdana"/>
          <w:sz w:val="20"/>
          <w:szCs w:val="20"/>
        </w:rPr>
        <w:t xml:space="preserve">Burndown Chart Phan’s team was </w:t>
      </w:r>
      <w:r w:rsidR="00A97BEF">
        <w:rPr>
          <w:rFonts w:ascii="Verdana" w:hAnsi="Verdana"/>
          <w:sz w:val="20"/>
          <w:szCs w:val="20"/>
        </w:rPr>
        <w:t>below</w:t>
      </w:r>
      <w:r w:rsidR="00B916F9">
        <w:rPr>
          <w:rFonts w:ascii="Verdana" w:hAnsi="Verdana"/>
          <w:sz w:val="20"/>
          <w:szCs w:val="20"/>
        </w:rPr>
        <w:t xml:space="preserve"> the Ideal Burndown line with Actual Burndown line</w:t>
      </w:r>
      <w:r w:rsidR="003F2355">
        <w:rPr>
          <w:rFonts w:ascii="Verdana" w:hAnsi="Verdana"/>
          <w:sz w:val="20"/>
          <w:szCs w:val="20"/>
        </w:rPr>
        <w:t xml:space="preserve"> also indicating more tasks remaining behind schedule.  It was apparent after reading Phan’s status report that </w:t>
      </w:r>
      <w:r w:rsidR="00EA239E">
        <w:rPr>
          <w:rFonts w:ascii="Verdana" w:hAnsi="Verdana"/>
          <w:sz w:val="20"/>
          <w:szCs w:val="20"/>
        </w:rPr>
        <w:t xml:space="preserve">QA automation engineers were delayed because file conversions needed to be </w:t>
      </w:r>
      <w:r w:rsidR="00406C99">
        <w:rPr>
          <w:rFonts w:ascii="Verdana" w:hAnsi="Verdana"/>
          <w:sz w:val="20"/>
          <w:szCs w:val="20"/>
        </w:rPr>
        <w:t xml:space="preserve">completed before they can proceed to their tasks.  Another </w:t>
      </w:r>
      <w:r w:rsidR="00406C99" w:rsidRPr="00BE7A67">
        <w:rPr>
          <w:rFonts w:ascii="Verdana" w:hAnsi="Verdana"/>
          <w:b/>
          <w:bCs/>
          <w:sz w:val="20"/>
          <w:szCs w:val="20"/>
        </w:rPr>
        <w:t>issue</w:t>
      </w:r>
      <w:r w:rsidR="00406C99">
        <w:rPr>
          <w:rFonts w:ascii="Verdana" w:hAnsi="Verdana"/>
          <w:sz w:val="20"/>
          <w:szCs w:val="20"/>
        </w:rPr>
        <w:t xml:space="preserve"> Phan addressed was that the </w:t>
      </w:r>
      <w:r w:rsidR="00C45A5D">
        <w:rPr>
          <w:rFonts w:ascii="Verdana" w:hAnsi="Verdana"/>
          <w:sz w:val="20"/>
          <w:szCs w:val="20"/>
        </w:rPr>
        <w:t xml:space="preserve">QA automation engineers had not been added as authorized users in which they were unable </w:t>
      </w:r>
      <w:r w:rsidR="00EC50D7">
        <w:rPr>
          <w:rFonts w:ascii="Verdana" w:hAnsi="Verdana"/>
          <w:sz w:val="20"/>
          <w:szCs w:val="20"/>
        </w:rPr>
        <w:t xml:space="preserve">to migrate data for testing sooner.  To </w:t>
      </w:r>
      <w:r w:rsidR="00EC50D7" w:rsidRPr="00D60D07">
        <w:rPr>
          <w:rFonts w:ascii="Verdana" w:hAnsi="Verdana"/>
          <w:b/>
          <w:bCs/>
          <w:sz w:val="20"/>
          <w:szCs w:val="20"/>
        </w:rPr>
        <w:t xml:space="preserve">migrate </w:t>
      </w:r>
      <w:r w:rsidR="00EC50D7">
        <w:rPr>
          <w:rFonts w:ascii="Verdana" w:hAnsi="Verdana"/>
          <w:sz w:val="20"/>
          <w:szCs w:val="20"/>
        </w:rPr>
        <w:t>Phan’s issue with CPI and SPI going forward to use</w:t>
      </w:r>
      <w:r w:rsidR="00803768">
        <w:rPr>
          <w:rFonts w:ascii="Verdana" w:hAnsi="Verdana"/>
          <w:sz w:val="20"/>
          <w:szCs w:val="20"/>
        </w:rPr>
        <w:t xml:space="preserve"> prevention proactive strategies to reduce the chance of any delays happening</w:t>
      </w:r>
      <w:r w:rsidR="008C517D">
        <w:rPr>
          <w:rFonts w:ascii="Verdana" w:hAnsi="Verdana"/>
          <w:sz w:val="20"/>
          <w:szCs w:val="20"/>
        </w:rPr>
        <w:t xml:space="preserve"> in the immediate future such as using immediate action to address changing the scope of the project to reduce</w:t>
      </w:r>
      <w:r w:rsidR="00500E53">
        <w:rPr>
          <w:rFonts w:ascii="Verdana" w:hAnsi="Verdana"/>
          <w:sz w:val="20"/>
          <w:szCs w:val="20"/>
        </w:rPr>
        <w:t xml:space="preserve"> and or adjusting things for the biggest impacts to the project.  To </w:t>
      </w:r>
      <w:r w:rsidR="00AE01CB">
        <w:rPr>
          <w:rFonts w:ascii="Verdana" w:hAnsi="Verdana"/>
          <w:sz w:val="20"/>
          <w:szCs w:val="20"/>
        </w:rPr>
        <w:t xml:space="preserve">adjust </w:t>
      </w:r>
      <w:r w:rsidR="00500E53">
        <w:rPr>
          <w:rFonts w:ascii="Verdana" w:hAnsi="Verdana"/>
          <w:sz w:val="20"/>
          <w:szCs w:val="20"/>
        </w:rPr>
        <w:t>things</w:t>
      </w:r>
      <w:r w:rsidR="005629EF">
        <w:rPr>
          <w:rFonts w:ascii="Verdana" w:hAnsi="Verdana"/>
          <w:sz w:val="20"/>
          <w:szCs w:val="20"/>
        </w:rPr>
        <w:t xml:space="preserve"> in scheduling I can use the structure of crashing the schedule by ad</w:t>
      </w:r>
      <w:r w:rsidR="00F14DA4">
        <w:rPr>
          <w:rFonts w:ascii="Verdana" w:hAnsi="Verdana"/>
          <w:sz w:val="20"/>
          <w:szCs w:val="20"/>
        </w:rPr>
        <w:t>justing the number of</w:t>
      </w:r>
      <w:r w:rsidR="005629EF">
        <w:rPr>
          <w:rFonts w:ascii="Verdana" w:hAnsi="Verdana"/>
          <w:sz w:val="20"/>
          <w:szCs w:val="20"/>
        </w:rPr>
        <w:t xml:space="preserve"> people to help or use</w:t>
      </w:r>
      <w:r w:rsidR="00C72668">
        <w:rPr>
          <w:rFonts w:ascii="Verdana" w:hAnsi="Verdana"/>
          <w:sz w:val="20"/>
          <w:szCs w:val="20"/>
        </w:rPr>
        <w:t xml:space="preserve"> the structure of fast tracking in that tasks are started before its predecessor finished.</w:t>
      </w:r>
    </w:p>
    <w:p w14:paraId="5BC9AE4C" w14:textId="63307672" w:rsidR="005F3878" w:rsidRDefault="005F3878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53CCF46" w14:textId="572B9254" w:rsidR="005F3878" w:rsidRDefault="000C3960" w:rsidP="00095BF9">
      <w:pPr>
        <w:spacing w:after="0" w:line="240" w:lineRule="auto"/>
        <w:rPr>
          <w:rFonts w:ascii="Verdana" w:hAnsi="Verdana"/>
          <w:sz w:val="20"/>
          <w:szCs w:val="20"/>
        </w:rPr>
      </w:pPr>
      <w:r w:rsidRPr="00FA27E6">
        <w:rPr>
          <w:rFonts w:ascii="Verdana" w:hAnsi="Verdana"/>
          <w:b/>
          <w:bCs/>
          <w:sz w:val="20"/>
          <w:szCs w:val="20"/>
        </w:rPr>
        <w:t>In conclusion</w:t>
      </w:r>
      <w:r>
        <w:rPr>
          <w:rFonts w:ascii="Verdana" w:hAnsi="Verdana"/>
          <w:sz w:val="20"/>
          <w:szCs w:val="20"/>
        </w:rPr>
        <w:t xml:space="preserve">, in performance it was evident that a lot of new employees were hired and in </w:t>
      </w:r>
      <w:r w:rsidR="00791D75">
        <w:rPr>
          <w:rFonts w:ascii="Verdana" w:hAnsi="Verdana"/>
          <w:sz w:val="20"/>
          <w:szCs w:val="20"/>
        </w:rPr>
        <w:t>training not being placed to do the project until they were fully trained.  Likewise, in scheduling it was apparent</w:t>
      </w:r>
      <w:r w:rsidR="00EA6D82">
        <w:rPr>
          <w:rFonts w:ascii="Verdana" w:hAnsi="Verdana"/>
          <w:sz w:val="20"/>
          <w:szCs w:val="20"/>
        </w:rPr>
        <w:t xml:space="preserve"> t</w:t>
      </w:r>
      <w:r w:rsidR="00EA6D82">
        <w:rPr>
          <w:rFonts w:ascii="Verdana" w:hAnsi="Verdana"/>
          <w:sz w:val="20"/>
          <w:szCs w:val="20"/>
        </w:rPr>
        <w:t>he overall SPI (Specific Performance Index) for the project was indicated by 0.96 which states that the project was close to schedule.</w:t>
      </w:r>
      <w:r w:rsidR="008219AA">
        <w:rPr>
          <w:rFonts w:ascii="Verdana" w:hAnsi="Verdana"/>
          <w:sz w:val="20"/>
          <w:szCs w:val="20"/>
        </w:rPr>
        <w:t xml:space="preserve"> </w:t>
      </w:r>
      <w:r w:rsidR="006B55F2">
        <w:rPr>
          <w:rFonts w:ascii="Verdana" w:hAnsi="Verdana"/>
          <w:sz w:val="20"/>
          <w:szCs w:val="20"/>
        </w:rPr>
        <w:t>Finally,</w:t>
      </w:r>
      <w:r w:rsidR="008219AA">
        <w:rPr>
          <w:rFonts w:ascii="Verdana" w:hAnsi="Verdana"/>
          <w:sz w:val="20"/>
          <w:szCs w:val="20"/>
        </w:rPr>
        <w:t xml:space="preserve"> as to the budget there was </w:t>
      </w:r>
      <w:r w:rsidR="006B55F2">
        <w:rPr>
          <w:rFonts w:ascii="Verdana" w:hAnsi="Verdana"/>
          <w:sz w:val="20"/>
          <w:szCs w:val="20"/>
        </w:rPr>
        <w:t>overspending</w:t>
      </w:r>
      <w:r w:rsidR="008219AA">
        <w:rPr>
          <w:rFonts w:ascii="Verdana" w:hAnsi="Verdana"/>
          <w:sz w:val="20"/>
          <w:szCs w:val="20"/>
        </w:rPr>
        <w:t xml:space="preserve"> on labor indicating the project </w:t>
      </w:r>
      <w:r w:rsidR="00FA27E6">
        <w:rPr>
          <w:rFonts w:ascii="Verdana" w:hAnsi="Verdana"/>
          <w:sz w:val="20"/>
          <w:szCs w:val="20"/>
        </w:rPr>
        <w:t>b</w:t>
      </w:r>
      <w:r w:rsidR="0078298D">
        <w:rPr>
          <w:rFonts w:ascii="Verdana" w:hAnsi="Verdana"/>
          <w:sz w:val="20"/>
          <w:szCs w:val="20"/>
        </w:rPr>
        <w:t>y the overall CPI (Cost Performance Index)</w:t>
      </w:r>
      <w:r w:rsidR="00334B26">
        <w:rPr>
          <w:rFonts w:ascii="Verdana" w:hAnsi="Verdana"/>
          <w:sz w:val="20"/>
          <w:szCs w:val="20"/>
        </w:rPr>
        <w:t xml:space="preserve"> of 0.78.</w:t>
      </w:r>
      <w:r w:rsidR="00341DB8">
        <w:rPr>
          <w:rFonts w:ascii="Verdana" w:hAnsi="Verdana"/>
          <w:sz w:val="20"/>
          <w:szCs w:val="20"/>
        </w:rPr>
        <w:t xml:space="preserve"> </w:t>
      </w:r>
    </w:p>
    <w:p w14:paraId="517FE316" w14:textId="32379AF6" w:rsidR="00CA7275" w:rsidRDefault="00CA7275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40A34A" w14:textId="3CC51225" w:rsidR="00CA7275" w:rsidRDefault="00CA7275" w:rsidP="00095B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BC4319E" w14:textId="6B05A3EC" w:rsidR="00CA7275" w:rsidRDefault="00CA7275" w:rsidP="00CA7275">
      <w:pPr>
        <w:spacing w:after="0" w:line="240" w:lineRule="auto"/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F</w:t>
      </w:r>
      <w:r w:rsidR="009A298E">
        <w:rPr>
          <w:rFonts w:ascii="Verdana" w:hAnsi="Verdana" w:cs="Arial"/>
          <w:sz w:val="32"/>
          <w:szCs w:val="32"/>
        </w:rPr>
        <w:t>.</w:t>
      </w:r>
      <w:r w:rsidRPr="00A745E5">
        <w:rPr>
          <w:rFonts w:ascii="Verdana" w:hAnsi="Verdana" w:cs="Arial"/>
          <w:sz w:val="32"/>
          <w:szCs w:val="32"/>
        </w:rPr>
        <w:t xml:space="preserve"> References</w:t>
      </w:r>
    </w:p>
    <w:p w14:paraId="40B04FE4" w14:textId="77777777" w:rsidR="00CA7275" w:rsidRDefault="00CA7275" w:rsidP="00CA7275">
      <w:pPr>
        <w:spacing w:after="0" w:line="240" w:lineRule="auto"/>
        <w:rPr>
          <w:rFonts w:ascii="Verdana" w:hAnsi="Verdana" w:cs="Arial"/>
          <w:sz w:val="32"/>
          <w:szCs w:val="32"/>
        </w:rPr>
      </w:pPr>
    </w:p>
    <w:p w14:paraId="2FF3C60E" w14:textId="77777777" w:rsidR="001C12E9" w:rsidRDefault="00ED21E0" w:rsidP="00ED21E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1C12E9">
        <w:rPr>
          <w:rFonts w:ascii="Times New Roman" w:hAnsi="Times New Roman" w:cs="Times New Roman"/>
          <w:i/>
          <w:iCs/>
          <w:color w:val="555555"/>
          <w:sz w:val="24"/>
          <w:szCs w:val="24"/>
        </w:rPr>
        <w:t>A guide to the project management body of knowledge (</w:t>
      </w:r>
      <w:proofErr w:type="spellStart"/>
      <w:r w:rsidRPr="001C12E9">
        <w:rPr>
          <w:rFonts w:ascii="Times New Roman" w:hAnsi="Times New Roman" w:cs="Times New Roman"/>
          <w:i/>
          <w:iCs/>
          <w:color w:val="555555"/>
          <w:sz w:val="24"/>
          <w:szCs w:val="24"/>
        </w:rPr>
        <w:t>pmbok</w:t>
      </w:r>
      <w:proofErr w:type="spellEnd"/>
      <w:r w:rsidRPr="001C12E9">
        <w:rPr>
          <w:rFonts w:ascii="Times New Roman" w:hAnsi="Times New Roman" w:cs="Times New Roman"/>
          <w:i/>
          <w:iCs/>
          <w:color w:val="555555"/>
          <w:sz w:val="24"/>
          <w:szCs w:val="24"/>
        </w:rPr>
        <w:t>® guide)</w:t>
      </w:r>
      <w:r w:rsidRPr="001C12E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(2017). Project </w:t>
      </w:r>
    </w:p>
    <w:p w14:paraId="6EF730AF" w14:textId="1F844264" w:rsidR="00ED21E0" w:rsidRPr="001C12E9" w:rsidRDefault="00ED21E0" w:rsidP="001C12E9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1C12E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Management Institute.</w:t>
      </w:r>
    </w:p>
    <w:p w14:paraId="15BF822B" w14:textId="77777777" w:rsidR="00D57887" w:rsidRDefault="00DF3545" w:rsidP="00DF3545">
      <w:pPr>
        <w:rPr>
          <w:rFonts w:ascii="Times New Roman" w:eastAsia="Times New Roman" w:hAnsi="Times New Roman" w:cs="Times New Roman"/>
          <w:color w:val="1C1C1C"/>
          <w:sz w:val="24"/>
          <w:szCs w:val="24"/>
          <w:bdr w:val="none" w:sz="0" w:space="0" w:color="auto" w:frame="1"/>
        </w:rPr>
      </w:pPr>
      <w:r w:rsidRPr="00451F40">
        <w:rPr>
          <w:rFonts w:ascii="Times New Roman" w:eastAsia="Times New Roman" w:hAnsi="Times New Roman" w:cs="Times New Roman"/>
          <w:color w:val="646464"/>
          <w:sz w:val="24"/>
          <w:szCs w:val="24"/>
        </w:rPr>
        <w:t>Harold Kerzner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5F5F5"/>
        </w:rPr>
        <w:t xml:space="preserve">, </w:t>
      </w:r>
      <w:r w:rsidR="00ED21E0" w:rsidRPr="00451F40">
        <w:rPr>
          <w:rFonts w:ascii="Times New Roman" w:eastAsia="Times New Roman" w:hAnsi="Times New Roman" w:cs="Times New Roman"/>
          <w:color w:val="1C1C1C"/>
          <w:sz w:val="24"/>
          <w:szCs w:val="24"/>
          <w:bdr w:val="none" w:sz="0" w:space="0" w:color="auto" w:frame="1"/>
        </w:rPr>
        <w:t xml:space="preserve">Project Management: A Systems Approach to Planning, Scheduling, and </w:t>
      </w:r>
    </w:p>
    <w:p w14:paraId="1C13ABE1" w14:textId="0F0F7E22" w:rsidR="00ED21E0" w:rsidRDefault="00ED21E0" w:rsidP="00D57887">
      <w:pPr>
        <w:ind w:firstLine="720"/>
        <w:rPr>
          <w:rFonts w:ascii="Times New Roman" w:eastAsia="Times New Roman" w:hAnsi="Times New Roman" w:cs="Times New Roman"/>
          <w:color w:val="1C1C1C"/>
          <w:sz w:val="24"/>
          <w:szCs w:val="24"/>
          <w:bdr w:val="none" w:sz="0" w:space="0" w:color="auto" w:frame="1"/>
        </w:rPr>
      </w:pPr>
      <w:r w:rsidRPr="00451F40">
        <w:rPr>
          <w:rFonts w:ascii="Times New Roman" w:eastAsia="Times New Roman" w:hAnsi="Times New Roman" w:cs="Times New Roman"/>
          <w:color w:val="1C1C1C"/>
          <w:sz w:val="24"/>
          <w:szCs w:val="24"/>
          <w:bdr w:val="none" w:sz="0" w:space="0" w:color="auto" w:frame="1"/>
        </w:rPr>
        <w:t>Controlling</w:t>
      </w:r>
    </w:p>
    <w:p w14:paraId="5AC9FA1E" w14:textId="77777777" w:rsidR="00D57887" w:rsidRPr="001C12E9" w:rsidRDefault="00D57887" w:rsidP="00D57887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5F5F5"/>
        </w:rPr>
      </w:pPr>
      <w:r w:rsidRPr="001C12E9">
        <w:rPr>
          <w:rFonts w:ascii="Times New Roman" w:hAnsi="Times New Roman" w:cs="Times New Roman"/>
          <w:color w:val="262626"/>
          <w:sz w:val="24"/>
          <w:szCs w:val="24"/>
          <w:shd w:val="clear" w:color="auto" w:fill="F5F5F5"/>
        </w:rPr>
        <w:t>Project Management Institute. (2017). </w:t>
      </w:r>
      <w:r w:rsidRPr="001C12E9">
        <w:rPr>
          <w:rFonts w:ascii="Times New Roman" w:hAnsi="Times New Roman" w:cs="Times New Roman"/>
          <w:i/>
          <w:iCs/>
          <w:color w:val="262626"/>
          <w:sz w:val="24"/>
          <w:szCs w:val="24"/>
          <w:bdr w:val="none" w:sz="0" w:space="0" w:color="auto" w:frame="1"/>
          <w:shd w:val="clear" w:color="auto" w:fill="F5F5F5"/>
        </w:rPr>
        <w:t>Agile Practice Guide</w:t>
      </w:r>
      <w:r w:rsidRPr="001C12E9">
        <w:rPr>
          <w:rFonts w:ascii="Times New Roman" w:hAnsi="Times New Roman" w:cs="Times New Roman"/>
          <w:color w:val="262626"/>
          <w:sz w:val="24"/>
          <w:szCs w:val="24"/>
          <w:shd w:val="clear" w:color="auto" w:fill="F5F5F5"/>
        </w:rPr>
        <w:t>. Project Management Institute.</w:t>
      </w:r>
    </w:p>
    <w:p w14:paraId="6066975F" w14:textId="77777777" w:rsidR="00D57887" w:rsidRPr="00451F40" w:rsidRDefault="00D57887" w:rsidP="00D57887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5F5F5"/>
        </w:rPr>
      </w:pPr>
    </w:p>
    <w:p w14:paraId="6F55DB1F" w14:textId="77777777" w:rsidR="00CA7275" w:rsidRPr="00DE49AE" w:rsidRDefault="00CA7275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CA7275" w:rsidRPr="00DE49A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C038" w14:textId="77777777" w:rsidR="005F604D" w:rsidRDefault="005F604D" w:rsidP="00862194">
      <w:pPr>
        <w:spacing w:after="0" w:line="240" w:lineRule="auto"/>
      </w:pPr>
      <w:r>
        <w:separator/>
      </w:r>
    </w:p>
  </w:endnote>
  <w:endnote w:type="continuationSeparator" w:id="0">
    <w:p w14:paraId="72B442D1" w14:textId="77777777" w:rsidR="005F604D" w:rsidRDefault="005F604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680E0F5F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960785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2B40F078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960785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E3A6" w14:textId="77777777" w:rsidR="005F604D" w:rsidRDefault="005F604D" w:rsidP="00862194">
      <w:pPr>
        <w:spacing w:after="0" w:line="240" w:lineRule="auto"/>
      </w:pPr>
      <w:r>
        <w:separator/>
      </w:r>
    </w:p>
  </w:footnote>
  <w:footnote w:type="continuationSeparator" w:id="0">
    <w:p w14:paraId="4CAEE5B7" w14:textId="77777777" w:rsidR="005F604D" w:rsidRDefault="005F604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47F17717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DE49AE">
      <w:rPr>
        <w:rFonts w:ascii="Verdana" w:eastAsiaTheme="majorEastAsia" w:hAnsi="Verdana" w:cstheme="majorBidi"/>
        <w:i/>
        <w:sz w:val="20"/>
        <w:szCs w:val="20"/>
      </w:rPr>
      <w:t>Monitoring and Controlling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DE49AE">
      <w:rPr>
        <w:rFonts w:ascii="Verdana" w:eastAsiaTheme="majorEastAsia" w:hAnsi="Verdana" w:cstheme="majorBidi"/>
        <w:sz w:val="20"/>
        <w:szCs w:val="20"/>
      </w:rPr>
      <w:t>Monitoring and Controlling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0FBC2413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DE49AE">
      <w:rPr>
        <w:rFonts w:ascii="Verdana" w:eastAsiaTheme="majorEastAsia" w:hAnsi="Verdana" w:cstheme="majorBidi"/>
        <w:i/>
        <w:sz w:val="20"/>
        <w:szCs w:val="20"/>
      </w:rPr>
      <w:t>Monitoring and Controlling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4368"/>
    <w:rsid w:val="00005B04"/>
    <w:rsid w:val="000102AB"/>
    <w:rsid w:val="0001791D"/>
    <w:rsid w:val="000202BE"/>
    <w:rsid w:val="00020560"/>
    <w:rsid w:val="00022F81"/>
    <w:rsid w:val="000239DD"/>
    <w:rsid w:val="0002436A"/>
    <w:rsid w:val="000315CB"/>
    <w:rsid w:val="00031B38"/>
    <w:rsid w:val="00032889"/>
    <w:rsid w:val="000369C3"/>
    <w:rsid w:val="0003747C"/>
    <w:rsid w:val="000406C9"/>
    <w:rsid w:val="0004125F"/>
    <w:rsid w:val="00046FCE"/>
    <w:rsid w:val="000473B0"/>
    <w:rsid w:val="00050385"/>
    <w:rsid w:val="00051470"/>
    <w:rsid w:val="00060BCD"/>
    <w:rsid w:val="000652E2"/>
    <w:rsid w:val="00065B43"/>
    <w:rsid w:val="00066B99"/>
    <w:rsid w:val="0006755D"/>
    <w:rsid w:val="000676B2"/>
    <w:rsid w:val="000747F9"/>
    <w:rsid w:val="00075CE7"/>
    <w:rsid w:val="00077F86"/>
    <w:rsid w:val="00084A7C"/>
    <w:rsid w:val="00087A8E"/>
    <w:rsid w:val="00087D65"/>
    <w:rsid w:val="00095BF9"/>
    <w:rsid w:val="0009641C"/>
    <w:rsid w:val="0009795C"/>
    <w:rsid w:val="000B01CD"/>
    <w:rsid w:val="000C3960"/>
    <w:rsid w:val="000C7967"/>
    <w:rsid w:val="000D494A"/>
    <w:rsid w:val="000D51C0"/>
    <w:rsid w:val="000E02D1"/>
    <w:rsid w:val="000E426A"/>
    <w:rsid w:val="000E529F"/>
    <w:rsid w:val="000E5BE5"/>
    <w:rsid w:val="000E6A99"/>
    <w:rsid w:val="000F04E3"/>
    <w:rsid w:val="000F340A"/>
    <w:rsid w:val="001023BC"/>
    <w:rsid w:val="00106B36"/>
    <w:rsid w:val="00106F0F"/>
    <w:rsid w:val="00112A20"/>
    <w:rsid w:val="00112E96"/>
    <w:rsid w:val="00121E52"/>
    <w:rsid w:val="00122576"/>
    <w:rsid w:val="00123118"/>
    <w:rsid w:val="001302CE"/>
    <w:rsid w:val="0013036C"/>
    <w:rsid w:val="00132AAE"/>
    <w:rsid w:val="00134E54"/>
    <w:rsid w:val="0013586A"/>
    <w:rsid w:val="00136CC0"/>
    <w:rsid w:val="00140D61"/>
    <w:rsid w:val="00141AC9"/>
    <w:rsid w:val="00143E45"/>
    <w:rsid w:val="001447CC"/>
    <w:rsid w:val="00147D2C"/>
    <w:rsid w:val="00151C85"/>
    <w:rsid w:val="001534F2"/>
    <w:rsid w:val="00154628"/>
    <w:rsid w:val="00154F07"/>
    <w:rsid w:val="00157259"/>
    <w:rsid w:val="00164745"/>
    <w:rsid w:val="00164AC1"/>
    <w:rsid w:val="00177697"/>
    <w:rsid w:val="00182120"/>
    <w:rsid w:val="00184207"/>
    <w:rsid w:val="001905E8"/>
    <w:rsid w:val="0019224A"/>
    <w:rsid w:val="001B0756"/>
    <w:rsid w:val="001B1C23"/>
    <w:rsid w:val="001C12E9"/>
    <w:rsid w:val="001C2A03"/>
    <w:rsid w:val="001C5EC6"/>
    <w:rsid w:val="001C78F0"/>
    <w:rsid w:val="001D25F8"/>
    <w:rsid w:val="001D4647"/>
    <w:rsid w:val="001E0A08"/>
    <w:rsid w:val="001E29CE"/>
    <w:rsid w:val="001E434E"/>
    <w:rsid w:val="001E6478"/>
    <w:rsid w:val="001F0673"/>
    <w:rsid w:val="001F2EA6"/>
    <w:rsid w:val="0020046F"/>
    <w:rsid w:val="00204D3F"/>
    <w:rsid w:val="00205FDD"/>
    <w:rsid w:val="002067D8"/>
    <w:rsid w:val="00210C09"/>
    <w:rsid w:val="0021161F"/>
    <w:rsid w:val="00215830"/>
    <w:rsid w:val="00217069"/>
    <w:rsid w:val="00217171"/>
    <w:rsid w:val="00220F64"/>
    <w:rsid w:val="00221EF4"/>
    <w:rsid w:val="00224BCD"/>
    <w:rsid w:val="00232B49"/>
    <w:rsid w:val="002336D7"/>
    <w:rsid w:val="00236333"/>
    <w:rsid w:val="00244A76"/>
    <w:rsid w:val="00252C61"/>
    <w:rsid w:val="00252F55"/>
    <w:rsid w:val="00254A20"/>
    <w:rsid w:val="00270BF7"/>
    <w:rsid w:val="00273206"/>
    <w:rsid w:val="00282610"/>
    <w:rsid w:val="00284201"/>
    <w:rsid w:val="0028471F"/>
    <w:rsid w:val="00284BFA"/>
    <w:rsid w:val="00292C3A"/>
    <w:rsid w:val="00297141"/>
    <w:rsid w:val="002A0BFD"/>
    <w:rsid w:val="002A40C8"/>
    <w:rsid w:val="002A564A"/>
    <w:rsid w:val="002A5D93"/>
    <w:rsid w:val="002A6639"/>
    <w:rsid w:val="002A78C4"/>
    <w:rsid w:val="002B4DDB"/>
    <w:rsid w:val="002B6C96"/>
    <w:rsid w:val="002C013C"/>
    <w:rsid w:val="002C265F"/>
    <w:rsid w:val="002C5E06"/>
    <w:rsid w:val="002C7E0E"/>
    <w:rsid w:val="002D4DDA"/>
    <w:rsid w:val="002D6435"/>
    <w:rsid w:val="002D7350"/>
    <w:rsid w:val="002D7EA6"/>
    <w:rsid w:val="002E05D2"/>
    <w:rsid w:val="002E24AE"/>
    <w:rsid w:val="002E711F"/>
    <w:rsid w:val="002F1259"/>
    <w:rsid w:val="002F3731"/>
    <w:rsid w:val="002F5FB7"/>
    <w:rsid w:val="002F626F"/>
    <w:rsid w:val="002F786B"/>
    <w:rsid w:val="00300618"/>
    <w:rsid w:val="00305CAB"/>
    <w:rsid w:val="003076B9"/>
    <w:rsid w:val="00311086"/>
    <w:rsid w:val="003151F5"/>
    <w:rsid w:val="003202FB"/>
    <w:rsid w:val="003212F4"/>
    <w:rsid w:val="00324E6B"/>
    <w:rsid w:val="00330F52"/>
    <w:rsid w:val="003314FE"/>
    <w:rsid w:val="00334A3A"/>
    <w:rsid w:val="00334B26"/>
    <w:rsid w:val="00341DB8"/>
    <w:rsid w:val="00341FE1"/>
    <w:rsid w:val="00342F6E"/>
    <w:rsid w:val="0034383B"/>
    <w:rsid w:val="00343F2F"/>
    <w:rsid w:val="00346B7A"/>
    <w:rsid w:val="00357839"/>
    <w:rsid w:val="003606B4"/>
    <w:rsid w:val="00362206"/>
    <w:rsid w:val="00362F47"/>
    <w:rsid w:val="003655D0"/>
    <w:rsid w:val="00366B11"/>
    <w:rsid w:val="00371274"/>
    <w:rsid w:val="00371358"/>
    <w:rsid w:val="0037619E"/>
    <w:rsid w:val="00384AAB"/>
    <w:rsid w:val="00391547"/>
    <w:rsid w:val="00392DC7"/>
    <w:rsid w:val="00393A7E"/>
    <w:rsid w:val="00395373"/>
    <w:rsid w:val="00396718"/>
    <w:rsid w:val="003A4A96"/>
    <w:rsid w:val="003A5C47"/>
    <w:rsid w:val="003A7328"/>
    <w:rsid w:val="003B561A"/>
    <w:rsid w:val="003C0296"/>
    <w:rsid w:val="003C136F"/>
    <w:rsid w:val="003D25E9"/>
    <w:rsid w:val="003D5D01"/>
    <w:rsid w:val="003E49D7"/>
    <w:rsid w:val="003E5CFA"/>
    <w:rsid w:val="003E6B5E"/>
    <w:rsid w:val="003F0D79"/>
    <w:rsid w:val="003F2355"/>
    <w:rsid w:val="003F2CE0"/>
    <w:rsid w:val="003F3139"/>
    <w:rsid w:val="003F580A"/>
    <w:rsid w:val="00404599"/>
    <w:rsid w:val="00405072"/>
    <w:rsid w:val="00406C99"/>
    <w:rsid w:val="00411C7B"/>
    <w:rsid w:val="00415A77"/>
    <w:rsid w:val="00431897"/>
    <w:rsid w:val="00432A28"/>
    <w:rsid w:val="00432D66"/>
    <w:rsid w:val="00437A6C"/>
    <w:rsid w:val="00442D22"/>
    <w:rsid w:val="0044409B"/>
    <w:rsid w:val="004501ED"/>
    <w:rsid w:val="0045159F"/>
    <w:rsid w:val="00452BDA"/>
    <w:rsid w:val="00453D6F"/>
    <w:rsid w:val="00454D1A"/>
    <w:rsid w:val="00455FC9"/>
    <w:rsid w:val="00462700"/>
    <w:rsid w:val="004630D9"/>
    <w:rsid w:val="0046416A"/>
    <w:rsid w:val="00465EB0"/>
    <w:rsid w:val="00466D3C"/>
    <w:rsid w:val="004678E4"/>
    <w:rsid w:val="00472CEA"/>
    <w:rsid w:val="0047759C"/>
    <w:rsid w:val="00477C55"/>
    <w:rsid w:val="004818A6"/>
    <w:rsid w:val="00482791"/>
    <w:rsid w:val="00484C50"/>
    <w:rsid w:val="00487572"/>
    <w:rsid w:val="00490378"/>
    <w:rsid w:val="00494926"/>
    <w:rsid w:val="00496CB7"/>
    <w:rsid w:val="00497703"/>
    <w:rsid w:val="004A2114"/>
    <w:rsid w:val="004A6E18"/>
    <w:rsid w:val="004A6F66"/>
    <w:rsid w:val="004B3836"/>
    <w:rsid w:val="004B5C71"/>
    <w:rsid w:val="004C5DD6"/>
    <w:rsid w:val="004C7BF0"/>
    <w:rsid w:val="004D1736"/>
    <w:rsid w:val="004D2739"/>
    <w:rsid w:val="004D6415"/>
    <w:rsid w:val="004E3314"/>
    <w:rsid w:val="004E520A"/>
    <w:rsid w:val="004E6F54"/>
    <w:rsid w:val="004F0275"/>
    <w:rsid w:val="004F12ED"/>
    <w:rsid w:val="004F4158"/>
    <w:rsid w:val="004F55CF"/>
    <w:rsid w:val="004F5738"/>
    <w:rsid w:val="004F5FAD"/>
    <w:rsid w:val="00500E53"/>
    <w:rsid w:val="0050193A"/>
    <w:rsid w:val="00502844"/>
    <w:rsid w:val="00502D87"/>
    <w:rsid w:val="00504D90"/>
    <w:rsid w:val="00506E7F"/>
    <w:rsid w:val="00513645"/>
    <w:rsid w:val="00513896"/>
    <w:rsid w:val="00523B3F"/>
    <w:rsid w:val="0052726D"/>
    <w:rsid w:val="00531FAC"/>
    <w:rsid w:val="0054542D"/>
    <w:rsid w:val="0055271C"/>
    <w:rsid w:val="005579FB"/>
    <w:rsid w:val="00557F35"/>
    <w:rsid w:val="005629EF"/>
    <w:rsid w:val="00566475"/>
    <w:rsid w:val="005678F1"/>
    <w:rsid w:val="00570D3E"/>
    <w:rsid w:val="00570FF4"/>
    <w:rsid w:val="00571BEF"/>
    <w:rsid w:val="00575192"/>
    <w:rsid w:val="005758A4"/>
    <w:rsid w:val="00581FFF"/>
    <w:rsid w:val="00583561"/>
    <w:rsid w:val="0058377A"/>
    <w:rsid w:val="0058494C"/>
    <w:rsid w:val="00584A34"/>
    <w:rsid w:val="00585BB0"/>
    <w:rsid w:val="00587E76"/>
    <w:rsid w:val="00593BD8"/>
    <w:rsid w:val="005968F3"/>
    <w:rsid w:val="005A1C51"/>
    <w:rsid w:val="005B10B5"/>
    <w:rsid w:val="005B6115"/>
    <w:rsid w:val="005C07C2"/>
    <w:rsid w:val="005D4DBF"/>
    <w:rsid w:val="005D54A5"/>
    <w:rsid w:val="005E5674"/>
    <w:rsid w:val="005E581E"/>
    <w:rsid w:val="005F2494"/>
    <w:rsid w:val="005F3878"/>
    <w:rsid w:val="005F604D"/>
    <w:rsid w:val="005F66A2"/>
    <w:rsid w:val="00603092"/>
    <w:rsid w:val="00605F78"/>
    <w:rsid w:val="00606F28"/>
    <w:rsid w:val="00607F22"/>
    <w:rsid w:val="006108A3"/>
    <w:rsid w:val="006111DB"/>
    <w:rsid w:val="006226BE"/>
    <w:rsid w:val="006242EB"/>
    <w:rsid w:val="006272F6"/>
    <w:rsid w:val="006315CD"/>
    <w:rsid w:val="006328F4"/>
    <w:rsid w:val="0063353A"/>
    <w:rsid w:val="006401C5"/>
    <w:rsid w:val="00640D34"/>
    <w:rsid w:val="006441B0"/>
    <w:rsid w:val="006447E6"/>
    <w:rsid w:val="00645A6C"/>
    <w:rsid w:val="00653ADE"/>
    <w:rsid w:val="006568D2"/>
    <w:rsid w:val="00656FD8"/>
    <w:rsid w:val="00662BE9"/>
    <w:rsid w:val="00662F42"/>
    <w:rsid w:val="006633D7"/>
    <w:rsid w:val="006661ED"/>
    <w:rsid w:val="006667D2"/>
    <w:rsid w:val="00670AF8"/>
    <w:rsid w:val="006716B7"/>
    <w:rsid w:val="0067199A"/>
    <w:rsid w:val="00686C11"/>
    <w:rsid w:val="006930FB"/>
    <w:rsid w:val="00695A55"/>
    <w:rsid w:val="00696E2F"/>
    <w:rsid w:val="006978F0"/>
    <w:rsid w:val="006A0A72"/>
    <w:rsid w:val="006A2D5C"/>
    <w:rsid w:val="006A6D93"/>
    <w:rsid w:val="006A7497"/>
    <w:rsid w:val="006B1956"/>
    <w:rsid w:val="006B2640"/>
    <w:rsid w:val="006B291A"/>
    <w:rsid w:val="006B3189"/>
    <w:rsid w:val="006B345B"/>
    <w:rsid w:val="006B43A2"/>
    <w:rsid w:val="006B55F2"/>
    <w:rsid w:val="006B654B"/>
    <w:rsid w:val="006C1093"/>
    <w:rsid w:val="006C5E28"/>
    <w:rsid w:val="006C73DC"/>
    <w:rsid w:val="006D042D"/>
    <w:rsid w:val="006D2B27"/>
    <w:rsid w:val="006D4DE0"/>
    <w:rsid w:val="006E3EA6"/>
    <w:rsid w:val="006F0474"/>
    <w:rsid w:val="006F1F28"/>
    <w:rsid w:val="007005B9"/>
    <w:rsid w:val="007010DF"/>
    <w:rsid w:val="00701BA3"/>
    <w:rsid w:val="0070586A"/>
    <w:rsid w:val="00710527"/>
    <w:rsid w:val="00710D06"/>
    <w:rsid w:val="0071693D"/>
    <w:rsid w:val="00720826"/>
    <w:rsid w:val="00720C35"/>
    <w:rsid w:val="0072186B"/>
    <w:rsid w:val="00722FD1"/>
    <w:rsid w:val="0072554E"/>
    <w:rsid w:val="00730E8B"/>
    <w:rsid w:val="00733C21"/>
    <w:rsid w:val="00742019"/>
    <w:rsid w:val="00742B6F"/>
    <w:rsid w:val="00746597"/>
    <w:rsid w:val="00750243"/>
    <w:rsid w:val="007507C7"/>
    <w:rsid w:val="007510F0"/>
    <w:rsid w:val="00754BBE"/>
    <w:rsid w:val="00755706"/>
    <w:rsid w:val="00764944"/>
    <w:rsid w:val="00767CBD"/>
    <w:rsid w:val="0077120A"/>
    <w:rsid w:val="0077438E"/>
    <w:rsid w:val="00775438"/>
    <w:rsid w:val="007760D1"/>
    <w:rsid w:val="0078298D"/>
    <w:rsid w:val="0078319F"/>
    <w:rsid w:val="007868ED"/>
    <w:rsid w:val="00791D75"/>
    <w:rsid w:val="007A49ED"/>
    <w:rsid w:val="007A5024"/>
    <w:rsid w:val="007A5FFC"/>
    <w:rsid w:val="007B04A5"/>
    <w:rsid w:val="007B078F"/>
    <w:rsid w:val="007B2C7C"/>
    <w:rsid w:val="007B5DCF"/>
    <w:rsid w:val="007C6BA4"/>
    <w:rsid w:val="007F61C1"/>
    <w:rsid w:val="00803768"/>
    <w:rsid w:val="00803E71"/>
    <w:rsid w:val="0080595B"/>
    <w:rsid w:val="008068AC"/>
    <w:rsid w:val="00820702"/>
    <w:rsid w:val="008219AA"/>
    <w:rsid w:val="00830388"/>
    <w:rsid w:val="008314AC"/>
    <w:rsid w:val="00831A8D"/>
    <w:rsid w:val="00831E3F"/>
    <w:rsid w:val="0083265D"/>
    <w:rsid w:val="00834BC1"/>
    <w:rsid w:val="00835105"/>
    <w:rsid w:val="00837B47"/>
    <w:rsid w:val="00841F81"/>
    <w:rsid w:val="00844415"/>
    <w:rsid w:val="00846717"/>
    <w:rsid w:val="00851818"/>
    <w:rsid w:val="00852832"/>
    <w:rsid w:val="0085461F"/>
    <w:rsid w:val="00857A32"/>
    <w:rsid w:val="00857CB1"/>
    <w:rsid w:val="00860330"/>
    <w:rsid w:val="0086071A"/>
    <w:rsid w:val="00862194"/>
    <w:rsid w:val="00866014"/>
    <w:rsid w:val="008671C0"/>
    <w:rsid w:val="00867567"/>
    <w:rsid w:val="00867A0A"/>
    <w:rsid w:val="008748D5"/>
    <w:rsid w:val="00874A3D"/>
    <w:rsid w:val="008762C8"/>
    <w:rsid w:val="00880CCB"/>
    <w:rsid w:val="00892670"/>
    <w:rsid w:val="00894973"/>
    <w:rsid w:val="008A01C4"/>
    <w:rsid w:val="008A1E7C"/>
    <w:rsid w:val="008A3FFB"/>
    <w:rsid w:val="008A6767"/>
    <w:rsid w:val="008B1A90"/>
    <w:rsid w:val="008B1CE4"/>
    <w:rsid w:val="008C30CE"/>
    <w:rsid w:val="008C517D"/>
    <w:rsid w:val="008C5A76"/>
    <w:rsid w:val="008E1CBA"/>
    <w:rsid w:val="008E2B81"/>
    <w:rsid w:val="008E5652"/>
    <w:rsid w:val="008E7751"/>
    <w:rsid w:val="008E7CDB"/>
    <w:rsid w:val="008F0D5A"/>
    <w:rsid w:val="008F3447"/>
    <w:rsid w:val="008F56D6"/>
    <w:rsid w:val="008F6FDD"/>
    <w:rsid w:val="00900603"/>
    <w:rsid w:val="00913F62"/>
    <w:rsid w:val="00923537"/>
    <w:rsid w:val="009247AA"/>
    <w:rsid w:val="00924FB1"/>
    <w:rsid w:val="00926A5D"/>
    <w:rsid w:val="00927D8C"/>
    <w:rsid w:val="00931570"/>
    <w:rsid w:val="0093311D"/>
    <w:rsid w:val="009362FE"/>
    <w:rsid w:val="00941EA4"/>
    <w:rsid w:val="0094403F"/>
    <w:rsid w:val="00954422"/>
    <w:rsid w:val="00954EA4"/>
    <w:rsid w:val="00960785"/>
    <w:rsid w:val="0097223C"/>
    <w:rsid w:val="00972D36"/>
    <w:rsid w:val="00976011"/>
    <w:rsid w:val="00983030"/>
    <w:rsid w:val="0099019F"/>
    <w:rsid w:val="00992F1C"/>
    <w:rsid w:val="00994922"/>
    <w:rsid w:val="009A0A71"/>
    <w:rsid w:val="009A1BB8"/>
    <w:rsid w:val="009A298E"/>
    <w:rsid w:val="009A307B"/>
    <w:rsid w:val="009A7D1F"/>
    <w:rsid w:val="009B5E4D"/>
    <w:rsid w:val="009B7801"/>
    <w:rsid w:val="009C10E1"/>
    <w:rsid w:val="009C11CB"/>
    <w:rsid w:val="009C1D73"/>
    <w:rsid w:val="009C5819"/>
    <w:rsid w:val="009D4B80"/>
    <w:rsid w:val="009E0895"/>
    <w:rsid w:val="009E3D26"/>
    <w:rsid w:val="009E429B"/>
    <w:rsid w:val="009F0FF5"/>
    <w:rsid w:val="009F3957"/>
    <w:rsid w:val="009F3E13"/>
    <w:rsid w:val="00A01B23"/>
    <w:rsid w:val="00A12A2F"/>
    <w:rsid w:val="00A12D04"/>
    <w:rsid w:val="00A133E8"/>
    <w:rsid w:val="00A1382F"/>
    <w:rsid w:val="00A13878"/>
    <w:rsid w:val="00A13905"/>
    <w:rsid w:val="00A14B60"/>
    <w:rsid w:val="00A1543B"/>
    <w:rsid w:val="00A1563C"/>
    <w:rsid w:val="00A204D7"/>
    <w:rsid w:val="00A2066A"/>
    <w:rsid w:val="00A21692"/>
    <w:rsid w:val="00A22CCF"/>
    <w:rsid w:val="00A240FF"/>
    <w:rsid w:val="00A2733B"/>
    <w:rsid w:val="00A3182E"/>
    <w:rsid w:val="00A37E64"/>
    <w:rsid w:val="00A41B4E"/>
    <w:rsid w:val="00A42191"/>
    <w:rsid w:val="00A57D69"/>
    <w:rsid w:val="00A61BF1"/>
    <w:rsid w:val="00A62EAF"/>
    <w:rsid w:val="00A63208"/>
    <w:rsid w:val="00A672F9"/>
    <w:rsid w:val="00A70246"/>
    <w:rsid w:val="00A74380"/>
    <w:rsid w:val="00A77F02"/>
    <w:rsid w:val="00A80D9F"/>
    <w:rsid w:val="00A81FF3"/>
    <w:rsid w:val="00A85E62"/>
    <w:rsid w:val="00A8683A"/>
    <w:rsid w:val="00A87C02"/>
    <w:rsid w:val="00A949AC"/>
    <w:rsid w:val="00A95058"/>
    <w:rsid w:val="00A97BEF"/>
    <w:rsid w:val="00AA0157"/>
    <w:rsid w:val="00AA1B68"/>
    <w:rsid w:val="00AA720D"/>
    <w:rsid w:val="00AB060D"/>
    <w:rsid w:val="00AB180D"/>
    <w:rsid w:val="00AB4B69"/>
    <w:rsid w:val="00AB5D70"/>
    <w:rsid w:val="00AC3890"/>
    <w:rsid w:val="00AC785E"/>
    <w:rsid w:val="00AD4B15"/>
    <w:rsid w:val="00AD7E14"/>
    <w:rsid w:val="00AE01CB"/>
    <w:rsid w:val="00AE6AFF"/>
    <w:rsid w:val="00AE7710"/>
    <w:rsid w:val="00AE7EEB"/>
    <w:rsid w:val="00B02DCB"/>
    <w:rsid w:val="00B04AD8"/>
    <w:rsid w:val="00B23F99"/>
    <w:rsid w:val="00B25A7F"/>
    <w:rsid w:val="00B27A03"/>
    <w:rsid w:val="00B35638"/>
    <w:rsid w:val="00B40F72"/>
    <w:rsid w:val="00B4310E"/>
    <w:rsid w:val="00B43145"/>
    <w:rsid w:val="00B47677"/>
    <w:rsid w:val="00B51844"/>
    <w:rsid w:val="00B51E76"/>
    <w:rsid w:val="00B537AD"/>
    <w:rsid w:val="00B54D94"/>
    <w:rsid w:val="00B60A9F"/>
    <w:rsid w:val="00B65835"/>
    <w:rsid w:val="00B71E73"/>
    <w:rsid w:val="00B744A6"/>
    <w:rsid w:val="00B75CB2"/>
    <w:rsid w:val="00B77CBA"/>
    <w:rsid w:val="00B80197"/>
    <w:rsid w:val="00B809E8"/>
    <w:rsid w:val="00B81189"/>
    <w:rsid w:val="00B8365C"/>
    <w:rsid w:val="00B838B9"/>
    <w:rsid w:val="00B83B04"/>
    <w:rsid w:val="00B840B8"/>
    <w:rsid w:val="00B85B8A"/>
    <w:rsid w:val="00B916F9"/>
    <w:rsid w:val="00B94361"/>
    <w:rsid w:val="00B94768"/>
    <w:rsid w:val="00B97BFF"/>
    <w:rsid w:val="00BA1B7F"/>
    <w:rsid w:val="00BA3399"/>
    <w:rsid w:val="00BA4645"/>
    <w:rsid w:val="00BB56DC"/>
    <w:rsid w:val="00BB68DA"/>
    <w:rsid w:val="00BB6AEC"/>
    <w:rsid w:val="00BB71B8"/>
    <w:rsid w:val="00BC292B"/>
    <w:rsid w:val="00BC4523"/>
    <w:rsid w:val="00BD1007"/>
    <w:rsid w:val="00BD42C2"/>
    <w:rsid w:val="00BD788C"/>
    <w:rsid w:val="00BE046C"/>
    <w:rsid w:val="00BE08C6"/>
    <w:rsid w:val="00BE1245"/>
    <w:rsid w:val="00BE4CB4"/>
    <w:rsid w:val="00BE7A67"/>
    <w:rsid w:val="00C1365B"/>
    <w:rsid w:val="00C2115E"/>
    <w:rsid w:val="00C22019"/>
    <w:rsid w:val="00C225D4"/>
    <w:rsid w:val="00C24B72"/>
    <w:rsid w:val="00C34449"/>
    <w:rsid w:val="00C34A49"/>
    <w:rsid w:val="00C37B13"/>
    <w:rsid w:val="00C44C87"/>
    <w:rsid w:val="00C45A5D"/>
    <w:rsid w:val="00C568B5"/>
    <w:rsid w:val="00C5719A"/>
    <w:rsid w:val="00C62AA7"/>
    <w:rsid w:val="00C670EE"/>
    <w:rsid w:val="00C67146"/>
    <w:rsid w:val="00C67225"/>
    <w:rsid w:val="00C72668"/>
    <w:rsid w:val="00C83CA5"/>
    <w:rsid w:val="00C930F1"/>
    <w:rsid w:val="00CA1D6D"/>
    <w:rsid w:val="00CA7275"/>
    <w:rsid w:val="00CA7362"/>
    <w:rsid w:val="00CB5AE6"/>
    <w:rsid w:val="00CB5C59"/>
    <w:rsid w:val="00CC7C52"/>
    <w:rsid w:val="00CC7E55"/>
    <w:rsid w:val="00CD12C3"/>
    <w:rsid w:val="00CE108B"/>
    <w:rsid w:val="00CE18A6"/>
    <w:rsid w:val="00CE6837"/>
    <w:rsid w:val="00CE746E"/>
    <w:rsid w:val="00CF0859"/>
    <w:rsid w:val="00CF0CB3"/>
    <w:rsid w:val="00CF2F8B"/>
    <w:rsid w:val="00CF3AF7"/>
    <w:rsid w:val="00CF3E90"/>
    <w:rsid w:val="00CF49DC"/>
    <w:rsid w:val="00CF5603"/>
    <w:rsid w:val="00CF7208"/>
    <w:rsid w:val="00CF7302"/>
    <w:rsid w:val="00D00E6B"/>
    <w:rsid w:val="00D1007A"/>
    <w:rsid w:val="00D2017C"/>
    <w:rsid w:val="00D20D18"/>
    <w:rsid w:val="00D25E7B"/>
    <w:rsid w:val="00D271EB"/>
    <w:rsid w:val="00D3150B"/>
    <w:rsid w:val="00D3487B"/>
    <w:rsid w:val="00D354ED"/>
    <w:rsid w:val="00D358AC"/>
    <w:rsid w:val="00D35C6F"/>
    <w:rsid w:val="00D3793E"/>
    <w:rsid w:val="00D425C1"/>
    <w:rsid w:val="00D43FC7"/>
    <w:rsid w:val="00D5354F"/>
    <w:rsid w:val="00D55342"/>
    <w:rsid w:val="00D557E7"/>
    <w:rsid w:val="00D5690F"/>
    <w:rsid w:val="00D57887"/>
    <w:rsid w:val="00D60D07"/>
    <w:rsid w:val="00D62576"/>
    <w:rsid w:val="00D65A37"/>
    <w:rsid w:val="00D65FA1"/>
    <w:rsid w:val="00D70B4B"/>
    <w:rsid w:val="00D727C9"/>
    <w:rsid w:val="00D8266A"/>
    <w:rsid w:val="00D82990"/>
    <w:rsid w:val="00D8565D"/>
    <w:rsid w:val="00D95D37"/>
    <w:rsid w:val="00DA4100"/>
    <w:rsid w:val="00DA62BA"/>
    <w:rsid w:val="00DB357A"/>
    <w:rsid w:val="00DB6DBF"/>
    <w:rsid w:val="00DC6D05"/>
    <w:rsid w:val="00DE15DA"/>
    <w:rsid w:val="00DE49AE"/>
    <w:rsid w:val="00DE5D1E"/>
    <w:rsid w:val="00DE7206"/>
    <w:rsid w:val="00DF3545"/>
    <w:rsid w:val="00DF7CED"/>
    <w:rsid w:val="00E068E7"/>
    <w:rsid w:val="00E174F4"/>
    <w:rsid w:val="00E1753F"/>
    <w:rsid w:val="00E21513"/>
    <w:rsid w:val="00E21EDE"/>
    <w:rsid w:val="00E25995"/>
    <w:rsid w:val="00E313C3"/>
    <w:rsid w:val="00E314B6"/>
    <w:rsid w:val="00E345D1"/>
    <w:rsid w:val="00E40113"/>
    <w:rsid w:val="00E55BDE"/>
    <w:rsid w:val="00E56957"/>
    <w:rsid w:val="00E61C12"/>
    <w:rsid w:val="00E631DE"/>
    <w:rsid w:val="00E67129"/>
    <w:rsid w:val="00E67754"/>
    <w:rsid w:val="00E67C82"/>
    <w:rsid w:val="00E73DD6"/>
    <w:rsid w:val="00E77362"/>
    <w:rsid w:val="00E936C8"/>
    <w:rsid w:val="00E96E39"/>
    <w:rsid w:val="00EA239E"/>
    <w:rsid w:val="00EA5D88"/>
    <w:rsid w:val="00EA6D82"/>
    <w:rsid w:val="00EB2820"/>
    <w:rsid w:val="00EB7A56"/>
    <w:rsid w:val="00EC0795"/>
    <w:rsid w:val="00EC3611"/>
    <w:rsid w:val="00EC50D7"/>
    <w:rsid w:val="00ED1FA3"/>
    <w:rsid w:val="00ED21E0"/>
    <w:rsid w:val="00EE3EBD"/>
    <w:rsid w:val="00EE4D53"/>
    <w:rsid w:val="00EF109C"/>
    <w:rsid w:val="00EF1A20"/>
    <w:rsid w:val="00F01B5A"/>
    <w:rsid w:val="00F05CE9"/>
    <w:rsid w:val="00F0624F"/>
    <w:rsid w:val="00F068B0"/>
    <w:rsid w:val="00F072A4"/>
    <w:rsid w:val="00F076B1"/>
    <w:rsid w:val="00F12B71"/>
    <w:rsid w:val="00F14DA4"/>
    <w:rsid w:val="00F160A1"/>
    <w:rsid w:val="00F16872"/>
    <w:rsid w:val="00F16B5A"/>
    <w:rsid w:val="00F216ED"/>
    <w:rsid w:val="00F22656"/>
    <w:rsid w:val="00F237E4"/>
    <w:rsid w:val="00F25488"/>
    <w:rsid w:val="00F25916"/>
    <w:rsid w:val="00F260F9"/>
    <w:rsid w:val="00F269BD"/>
    <w:rsid w:val="00F26D3D"/>
    <w:rsid w:val="00F3235F"/>
    <w:rsid w:val="00F37A01"/>
    <w:rsid w:val="00F46152"/>
    <w:rsid w:val="00F52884"/>
    <w:rsid w:val="00F53477"/>
    <w:rsid w:val="00F64DB1"/>
    <w:rsid w:val="00F67C6D"/>
    <w:rsid w:val="00F81D46"/>
    <w:rsid w:val="00F83D3D"/>
    <w:rsid w:val="00F852FB"/>
    <w:rsid w:val="00F855CC"/>
    <w:rsid w:val="00FA2688"/>
    <w:rsid w:val="00FA27E6"/>
    <w:rsid w:val="00FA333F"/>
    <w:rsid w:val="00FA5FB0"/>
    <w:rsid w:val="00FA7549"/>
    <w:rsid w:val="00FB1DA9"/>
    <w:rsid w:val="00FB2013"/>
    <w:rsid w:val="00FB5636"/>
    <w:rsid w:val="00FC7DB5"/>
    <w:rsid w:val="00FC7F3C"/>
    <w:rsid w:val="00FD13F9"/>
    <w:rsid w:val="00FD15C8"/>
    <w:rsid w:val="00FD230D"/>
    <w:rsid w:val="00FD684B"/>
    <w:rsid w:val="00FD78AC"/>
    <w:rsid w:val="00FD7D9A"/>
    <w:rsid w:val="00FE6A9F"/>
    <w:rsid w:val="00FF0C7A"/>
    <w:rsid w:val="00FF11AA"/>
    <w:rsid w:val="00FF204E"/>
    <w:rsid w:val="00FF5E60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4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9A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A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6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D1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'[Earned Value Analysis Task 3.xlsx]D1 Burndown Chart'!$B$1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'[Earned Value Analysis Task 3.xlsx]D1 Burndown Chart'!$B$2:$B$87</c:f>
              <c:numCache>
                <c:formatCode>0.0</c:formatCode>
                <c:ptCount val="86"/>
                <c:pt idx="0" formatCode="General">
                  <c:v>25</c:v>
                </c:pt>
                <c:pt idx="1">
                  <c:v>24.709302325581394</c:v>
                </c:pt>
                <c:pt idx="2">
                  <c:v>24.418604651162788</c:v>
                </c:pt>
                <c:pt idx="3">
                  <c:v>24.127906976744182</c:v>
                </c:pt>
                <c:pt idx="4">
                  <c:v>23.837209302325576</c:v>
                </c:pt>
                <c:pt idx="5">
                  <c:v>23.54651162790697</c:v>
                </c:pt>
                <c:pt idx="6">
                  <c:v>23.255813953488364</c:v>
                </c:pt>
                <c:pt idx="7">
                  <c:v>22.965116279069758</c:v>
                </c:pt>
                <c:pt idx="8">
                  <c:v>22.674418604651152</c:v>
                </c:pt>
                <c:pt idx="9">
                  <c:v>22.383720930232545</c:v>
                </c:pt>
                <c:pt idx="10">
                  <c:v>22.093023255813939</c:v>
                </c:pt>
                <c:pt idx="11">
                  <c:v>21.802325581395333</c:v>
                </c:pt>
                <c:pt idx="12">
                  <c:v>21.511627906976727</c:v>
                </c:pt>
                <c:pt idx="13">
                  <c:v>21.220930232558121</c:v>
                </c:pt>
                <c:pt idx="14">
                  <c:v>20.930232558139515</c:v>
                </c:pt>
                <c:pt idx="15">
                  <c:v>20.639534883720909</c:v>
                </c:pt>
                <c:pt idx="16">
                  <c:v>20.348837209302303</c:v>
                </c:pt>
                <c:pt idx="17">
                  <c:v>20.058139534883697</c:v>
                </c:pt>
                <c:pt idx="18">
                  <c:v>19.767441860465091</c:v>
                </c:pt>
                <c:pt idx="19">
                  <c:v>19.476744186046485</c:v>
                </c:pt>
                <c:pt idx="20">
                  <c:v>19.186046511627879</c:v>
                </c:pt>
                <c:pt idx="21">
                  <c:v>18.895348837209273</c:v>
                </c:pt>
                <c:pt idx="22">
                  <c:v>18.604651162790667</c:v>
                </c:pt>
                <c:pt idx="23">
                  <c:v>18.313953488372061</c:v>
                </c:pt>
                <c:pt idx="24">
                  <c:v>18.023255813953455</c:v>
                </c:pt>
                <c:pt idx="25">
                  <c:v>17.732558139534849</c:v>
                </c:pt>
                <c:pt idx="26">
                  <c:v>17.441860465116243</c:v>
                </c:pt>
                <c:pt idx="27">
                  <c:v>17.151162790697636</c:v>
                </c:pt>
                <c:pt idx="28">
                  <c:v>16.86046511627903</c:v>
                </c:pt>
                <c:pt idx="29">
                  <c:v>16.569767441860424</c:v>
                </c:pt>
                <c:pt idx="30">
                  <c:v>16.279069767441818</c:v>
                </c:pt>
                <c:pt idx="31">
                  <c:v>15.988372093023214</c:v>
                </c:pt>
                <c:pt idx="32">
                  <c:v>15.69767441860461</c:v>
                </c:pt>
                <c:pt idx="33">
                  <c:v>15.406976744186005</c:v>
                </c:pt>
                <c:pt idx="34">
                  <c:v>15.116279069767401</c:v>
                </c:pt>
                <c:pt idx="35">
                  <c:v>14.825581395348797</c:v>
                </c:pt>
                <c:pt idx="36">
                  <c:v>14.534883720930193</c:v>
                </c:pt>
                <c:pt idx="37">
                  <c:v>14.244186046511588</c:v>
                </c:pt>
                <c:pt idx="38">
                  <c:v>13.953488372092984</c:v>
                </c:pt>
                <c:pt idx="39">
                  <c:v>13.66279069767438</c:v>
                </c:pt>
                <c:pt idx="40">
                  <c:v>13.372093023255776</c:v>
                </c:pt>
                <c:pt idx="41">
                  <c:v>13.081395348837171</c:v>
                </c:pt>
                <c:pt idx="42">
                  <c:v>12.790697674418567</c:v>
                </c:pt>
                <c:pt idx="43">
                  <c:v>12.499999999999963</c:v>
                </c:pt>
                <c:pt idx="44">
                  <c:v>12.209302325581358</c:v>
                </c:pt>
                <c:pt idx="45">
                  <c:v>11.918604651162754</c:v>
                </c:pt>
                <c:pt idx="46">
                  <c:v>11.62790697674415</c:v>
                </c:pt>
                <c:pt idx="47">
                  <c:v>11.337209302325546</c:v>
                </c:pt>
                <c:pt idx="48">
                  <c:v>11.046511627906941</c:v>
                </c:pt>
                <c:pt idx="49">
                  <c:v>10.755813953488337</c:v>
                </c:pt>
                <c:pt idx="50">
                  <c:v>10.465116279069733</c:v>
                </c:pt>
                <c:pt idx="51">
                  <c:v>10.174418604651128</c:v>
                </c:pt>
                <c:pt idx="52">
                  <c:v>9.8837209302325242</c:v>
                </c:pt>
                <c:pt idx="53">
                  <c:v>9.5930232558139199</c:v>
                </c:pt>
                <c:pt idx="54">
                  <c:v>9.3023255813953156</c:v>
                </c:pt>
                <c:pt idx="55">
                  <c:v>9.0116279069767113</c:v>
                </c:pt>
                <c:pt idx="56">
                  <c:v>8.7209302325581071</c:v>
                </c:pt>
                <c:pt idx="57">
                  <c:v>8.4302325581395028</c:v>
                </c:pt>
                <c:pt idx="58">
                  <c:v>8.1395348837208985</c:v>
                </c:pt>
                <c:pt idx="59">
                  <c:v>7.8488372093022942</c:v>
                </c:pt>
                <c:pt idx="60">
                  <c:v>7.5581395348836899</c:v>
                </c:pt>
                <c:pt idx="61">
                  <c:v>7.2674418604650857</c:v>
                </c:pt>
                <c:pt idx="62">
                  <c:v>6.9767441860464814</c:v>
                </c:pt>
                <c:pt idx="63">
                  <c:v>6.6860465116278771</c:v>
                </c:pt>
                <c:pt idx="64">
                  <c:v>6.3953488372092728</c:v>
                </c:pt>
                <c:pt idx="65">
                  <c:v>6.1046511627906686</c:v>
                </c:pt>
                <c:pt idx="66">
                  <c:v>5.8139534883720643</c:v>
                </c:pt>
                <c:pt idx="67">
                  <c:v>5.52325581395346</c:v>
                </c:pt>
                <c:pt idx="68">
                  <c:v>5.2325581395348557</c:v>
                </c:pt>
                <c:pt idx="69">
                  <c:v>4.9418604651162514</c:v>
                </c:pt>
                <c:pt idx="70">
                  <c:v>4.6511627906976472</c:v>
                </c:pt>
                <c:pt idx="71">
                  <c:v>4.3604651162790429</c:v>
                </c:pt>
                <c:pt idx="72">
                  <c:v>4.0697674418604386</c:v>
                </c:pt>
                <c:pt idx="73">
                  <c:v>3.7790697674418339</c:v>
                </c:pt>
                <c:pt idx="74">
                  <c:v>3.4883720930232291</c:v>
                </c:pt>
                <c:pt idx="75">
                  <c:v>3.1976744186046244</c:v>
                </c:pt>
                <c:pt idx="76">
                  <c:v>2.9069767441860197</c:v>
                </c:pt>
                <c:pt idx="77">
                  <c:v>2.616279069767415</c:v>
                </c:pt>
                <c:pt idx="78">
                  <c:v>2.3255813953488103</c:v>
                </c:pt>
                <c:pt idx="79">
                  <c:v>2.0348837209302055</c:v>
                </c:pt>
                <c:pt idx="80">
                  <c:v>1.7441860465116008</c:v>
                </c:pt>
                <c:pt idx="81">
                  <c:v>1.4534883720929961</c:v>
                </c:pt>
                <c:pt idx="82">
                  <c:v>1.1627906976743914</c:v>
                </c:pt>
                <c:pt idx="83">
                  <c:v>0.87209302325578664</c:v>
                </c:pt>
                <c:pt idx="84">
                  <c:v>0.58139534883718191</c:v>
                </c:pt>
                <c:pt idx="85">
                  <c:v>0.29069767441857725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BE-467F-AE2F-2719E108D594}"/>
            </c:ext>
          </c:extLst>
        </c:ser>
        <c:ser>
          <c:idx val="2"/>
          <c:order val="1"/>
          <c:tx>
            <c:strRef>
              <c:f>'[Earned Value Analysis Task 3.xlsx]D1 Burndown Chart'!$C$1</c:f>
              <c:strCache>
                <c:ptCount val="1"/>
                <c:pt idx="0">
                  <c:v>Actual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'[Earned Value Analysis Task 3.xlsx]D1 Burndown Chart'!$C$2:$C$99</c:f>
              <c:numCache>
                <c:formatCode>0.0</c:formatCode>
                <c:ptCount val="98"/>
                <c:pt idx="0">
                  <c:v>25</c:v>
                </c:pt>
                <c:pt idx="1">
                  <c:v>24</c:v>
                </c:pt>
                <c:pt idx="2">
                  <c:v>24</c:v>
                </c:pt>
                <c:pt idx="3">
                  <c:v>21</c:v>
                </c:pt>
                <c:pt idx="4">
                  <c:v>21</c:v>
                </c:pt>
                <c:pt idx="5">
                  <c:v>20</c:v>
                </c:pt>
                <c:pt idx="6">
                  <c:v>20</c:v>
                </c:pt>
                <c:pt idx="7">
                  <c:v>18</c:v>
                </c:pt>
                <c:pt idx="8">
                  <c:v>18</c:v>
                </c:pt>
                <c:pt idx="9">
                  <c:v>17</c:v>
                </c:pt>
                <c:pt idx="10">
                  <c:v>17</c:v>
                </c:pt>
                <c:pt idx="1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BE-467F-AE2F-2719E108D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9224432"/>
        <c:axId val="960469312"/>
      </c:lineChart>
      <c:catAx>
        <c:axId val="85922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469312"/>
        <c:crosses val="autoZero"/>
        <c:auto val="1"/>
        <c:lblAlgn val="ctr"/>
        <c:lblOffset val="100"/>
        <c:noMultiLvlLbl val="0"/>
      </c:catAx>
      <c:valAx>
        <c:axId val="96046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22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85794a4509af827e48f8ef0a6456d0c6">
  <xsd:schema xmlns:xsd="http://www.w3.org/2001/XMLSchema" xmlns:xs="http://www.w3.org/2001/XMLSchema" xmlns:p="http://schemas.microsoft.com/office/2006/metadata/properties" xmlns:ns3="986a1e7c-3408-4565-abd6-87412778acff" xmlns:ns4="e7b1d905-24de-49f1-ac69-282527225b8e" targetNamespace="http://schemas.microsoft.com/office/2006/metadata/properties" ma:root="true" ma:fieldsID="e76ac4850b68f3a3bf64c8a0993b7772" ns3:_="" ns4:_="">
    <xsd:import namespace="986a1e7c-3408-4565-abd6-87412778acff"/>
    <xsd:import namespace="e7b1d905-24de-49f1-ac69-282527225b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79BBD-E202-4D7B-ACB3-279F6765C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a1e7c-3408-4565-abd6-87412778acff"/>
    <ds:schemaRef ds:uri="e7b1d905-24de-49f1-ac69-28252722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4DA014-ABAE-4D23-86BF-EAFC430004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38A9C-327D-42E3-AFA8-3D7FCB42D3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1691440-E127-4CEF-B263-70F6DE34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9</Pages>
  <Words>2679</Words>
  <Characters>15273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689</cp:revision>
  <cp:lastPrinted>2021-10-24T09:39:00Z</cp:lastPrinted>
  <dcterms:created xsi:type="dcterms:W3CDTF">2021-10-27T21:30:00Z</dcterms:created>
  <dcterms:modified xsi:type="dcterms:W3CDTF">2021-11-04T18:41:00Z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