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jc w:val="center"/>
      </w:pPr>
      <w:r>
        <w:rPr>
          <w:rFonts w:ascii="Noto Serif CJK SC" w:hAnsi="Noto Serif CJK SC" w:eastAsia="Noto Serif CJK SC"/>
          <w:b/>
          <w:sz w:val="32"/>
        </w:rPr>
        <w:t>说明书摘要</w:t>
      </w:r>
    </w:p>
    <w:p>
      <w:pPr>
        <w:keepNext/>
        <w:spacing w:before="200"/>
        <w:jc w:val="left"/>
      </w:pPr>
      <w:r>
        <w:rPr>
          <w:rFonts w:ascii="Noto Serif CJK SC" w:hAnsi="Noto Serif CJK SC" w:eastAsia="Noto Serif CJK SC"/>
          <w:b/>
          <w:sz w:val="26"/>
        </w:rPr>
        <w:t>一种港口锚地无人机配送任务与电池周转同步重排方法</w:t>
      </w:r>
    </w:p>
    <w:p>
      <w:pPr>
        <w:spacing w:line="336" w:lineRule="auto" w:after="120"/>
      </w:pPr>
      <w:r>
        <w:rPr>
          <w:rFonts w:ascii="Noto Serif CJK SC" w:hAnsi="Noto Serif CJK SC" w:eastAsia="Noto Serif CJK SC"/>
          <w:b w:val="0"/>
          <w:sz w:val="24"/>
        </w:rPr>
        <w:t>本发明提供一种港口锚地无人机配送任务与电池周转同步重排方法。获取货箱、船舶接收窗口及机体、电池、有限工位状态，构造初始架次并调用同步资源排程。每次调整货箱组合、访问顺序或机型，重新计算逐段载荷、能耗及可起飞区间，从同一资源初始状态重排全部待执行架次的机体、电池与工位占用；将预计返航荷电状态及工位排队决定的电池满电再次可用时刻反馈至后续起飞，用重建后的窗口、硬截止、电量和资源约束判断调整能否执行。经独立复算后输出具体配送、换电与充电预约，保持任务变化与设备能源周转一致。</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