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jc w:val="center"/>
      </w:pPr>
      <w:r>
        <w:rPr>
          <w:rFonts w:ascii="Noto Serif CJK SC" w:hAnsi="Noto Serif CJK SC" w:eastAsia="Noto Serif CJK SC"/>
          <w:b/>
          <w:sz w:val="32"/>
        </w:rPr>
        <w:t>权利要求书</w:t>
      </w:r>
    </w:p>
    <w:p>
      <w:pPr>
        <w:spacing w:line="336" w:lineRule="auto" w:after="120"/>
      </w:pPr>
      <w:r>
        <w:rPr>
          <w:rFonts w:ascii="Noto Serif CJK SC" w:hAnsi="Noto Serif CJK SC" w:eastAsia="Noto Serif CJK SC"/>
          <w:b w:val="0"/>
          <w:sz w:val="24"/>
        </w:rPr>
        <w:t>1. 一种港口锚地无人机配送任务与电池周转同步重排方法，其特征在于，由调度计算机执行以下步骤：</w:t>
        <w:br/>
        <w:t>S1，获取配送货箱、船舶接收点及接收窗口、物资硬截止，以及实体无人机、兼容电池和有限充电工位的状态及兼容关系，保存用于候选比较的资源初始状态；</w:t>
        <w:br/>
        <w:t>S2，分配货箱并确定候选机型及船舶访问顺序，构造初始配送架次集合，调用同步资源排程过程形成通过约束检查的初始方案；</w:t>
        <w:br/>
        <w:t>S3，对配送架次的货箱组合、船舶访问顺序或机型进行调整，每次调整后均调用所述同步资源排程过程：按照交付后剩余载荷重新计算各航段能耗及预计返航荷电状态，将各船舶接收窗口与物资硬截止转换为可起飞区间，从所述资源初始状态重新分配全部待执行架次的实体无人机、兼容电池、起飞时刻和兼容充电工位；根据预计返航荷电状态、返航后电池拆卸冷却完成时刻及兼容工位可用时刻，确定充电开始时刻和充电结束时刻，由充电结束时刻及充电后处理时长确定满电再次可用时刻，并将满电再次可用时刻反馈至后续架次，重建机体、电池和工位的完整占用时间轴，以重建后的交付时刻、电量及资源占用是否满足约束判断该调整能否执行；</w:t>
        <w:br/>
        <w:t>S4，依据所选择方案的货箱分配、访问顺序及资源绑定记录独立复算，输出通过复算的配送任务、实体无人机与电池绑定、换电安排及充电工位预约。</w:t>
      </w:r>
    </w:p>
    <w:p>
      <w:pPr>
        <w:spacing w:line="336" w:lineRule="auto" w:after="120"/>
      </w:pPr>
      <w:r>
        <w:rPr>
          <w:rFonts w:ascii="Noto Serif CJK SC" w:hAnsi="Noto Serif CJK SC" w:eastAsia="Noto Serif CJK SC"/>
          <w:b w:val="0"/>
          <w:sz w:val="24"/>
        </w:rPr>
        <w:t>2. 根据权利要求1所述的方法，其特征在于，所述可起飞区间通过以下方式确定：根据访问顺序计算从起飞至各船舶交接开始和完成的偏移，将选定接收窗口起点减去交接开始偏移作为起飞下界，将窗口终点及对应货箱硬截止分别减去交接完成偏移作为起飞上界，对各船舶和各货箱所得约束求交集；多接收窗口时分别计算窗口组合对应的区间，不将相离区间之间的时间视为可起飞时间；在所选窗口内完成该船舶的整个交接过程。</w:t>
      </w:r>
    </w:p>
    <w:p>
      <w:pPr>
        <w:spacing w:line="336" w:lineRule="auto" w:after="120"/>
      </w:pPr>
      <w:r>
        <w:rPr>
          <w:rFonts w:ascii="Noto Serif CJK SC" w:hAnsi="Noto Serif CJK SC" w:eastAsia="Noto Serif CJK SC"/>
          <w:b w:val="0"/>
          <w:sz w:val="24"/>
        </w:rPr>
        <w:t>3. 根据权利要求1所述的方法，其特征在于，起飞载荷由架次内全部不可拆货箱质量之和确定，起飞总体积由全部货箱体积之和确定，每完成一个船舶交付后扣除相应货箱质量，以剩余载荷计算下一航段能耗；将包括返航航段的能耗与交接能耗相加确定架次能耗，结合电池可用能量计算预计返航荷电状态并检查返航储备。</w:t>
      </w:r>
    </w:p>
    <w:p>
      <w:pPr>
        <w:spacing w:line="336" w:lineRule="auto" w:after="120"/>
      </w:pPr>
      <w:r>
        <w:rPr>
          <w:rFonts w:ascii="Noto Serif CJK SC" w:hAnsi="Noto Serif CJK SC" w:eastAsia="Noto Serif CJK SC"/>
          <w:b w:val="0"/>
          <w:sz w:val="24"/>
        </w:rPr>
        <w:t>4. 根据权利要求1所述的方法，其特征在于，针对候选的实体无人机、电池及工位绑定，在所述可起飞区间内确定起飞时刻，使起飞前准备开始时刻不早于机体可用、电池满电再次可用及物资备妥时刻；机体返航完成自身周转后释放，电池完成拆卸冷却、必要补电及充电后处理，达到满电再次可用时刻后释放，各候选绑定使用临时状态计算，未选中的候选绑定不写入当前资源时间轴。</w:t>
      </w:r>
    </w:p>
    <w:p>
      <w:pPr>
        <w:spacing w:line="336" w:lineRule="auto" w:after="120"/>
      </w:pPr>
      <w:r>
        <w:rPr>
          <w:rFonts w:ascii="Noto Serif CJK SC" w:hAnsi="Noto Serif CJK SC" w:eastAsia="Noto Serif CJK SC"/>
          <w:b w:val="0"/>
          <w:sz w:val="24"/>
        </w:rPr>
        <w:t>5. 根据权利要求1所述的方法，其特征在于，电池预计返航后，以电池拆卸冷却完成时刻和所选兼容充电工位可用时刻中的较晚者作为充电开始时刻，根据预计返航荷电状态和对应电池—工位充电参数计算充电时长，得到充电结束时刻，结合充电后检测或转运时长确定电池满电再次可用时刻，分别更新该电池及该工位的下一可用时刻；充电后处理在工位外完成时，工位在充电结束时释放；同一实体工位即使兼容多个电池类型也仅使用一份占用时间轴。</w:t>
      </w:r>
    </w:p>
    <w:p>
      <w:pPr>
        <w:spacing w:line="336" w:lineRule="auto" w:after="120"/>
      </w:pPr>
      <w:r>
        <w:rPr>
          <w:rFonts w:ascii="Noto Serif CJK SC" w:hAnsi="Noto Serif CJK SC" w:eastAsia="Noto Serif CJK SC"/>
          <w:b w:val="0"/>
          <w:sz w:val="24"/>
        </w:rPr>
        <w:t>6. 根据权利要求1所述的方法，其特征在于，分别记录机体从起飞前准备开始至返航周转结束的占用区间、电池从起飞前准备开始至满电再次可用时刻的占用区间以及工位实际充电区间，同一机体、同一电池和同一工位各自的占用区间互不重叠；前一区间结束时允许后一区间开始。</w:t>
      </w:r>
    </w:p>
    <w:p>
      <w:pPr>
        <w:spacing w:line="336" w:lineRule="auto" w:after="120"/>
      </w:pPr>
      <w:r>
        <w:rPr>
          <w:rFonts w:ascii="Noto Serif CJK SC" w:hAnsi="Noto Serif CJK SC" w:eastAsia="Noto Serif CJK SC"/>
          <w:b w:val="0"/>
          <w:sz w:val="24"/>
        </w:rPr>
        <w:t>7. 根据权利要求1所述的方法，其特征在于，所述调整包括合并配送架次、拆分配送架次、跨架次移动或交换货箱、改变船舶访问顺序以及变更架次机型中的至少一种；每种调整均保持货箱整箱唯一归属，并对调整后的全部待执行架次调用同一个同步资源排程过程，不沿用调整前的起飞时刻、返航电量或充电预约作为调整后的排程。</w:t>
      </w:r>
    </w:p>
    <w:p>
      <w:pPr>
        <w:spacing w:line="336" w:lineRule="auto" w:after="120"/>
      </w:pPr>
      <w:r>
        <w:rPr>
          <w:rFonts w:ascii="Noto Serif CJK SC" w:hAnsi="Noto Serif CJK SC" w:eastAsia="Noto Serif CJK SC"/>
          <w:b w:val="0"/>
          <w:sz w:val="24"/>
        </w:rPr>
        <w:t>8. 根据权利要求1所述的方法，其特征在于，所述同步资源排程过程对同一候选架次集合采用不同架次排程顺序分别重建时间轴，各排程顺序从相同的资源初始状态独立计算；先筛除违反接收窗口、物资硬截止、承载能力、返航储备及资源占用的完整排程，再对可行排程按加权迟到量、最晚返航时刻、运输能耗和架次数的优先次序比较。</w:t>
      </w:r>
    </w:p>
    <w:p>
      <w:pPr>
        <w:spacing w:line="336" w:lineRule="auto" w:after="120"/>
      </w:pPr>
      <w:r>
        <w:rPr>
          <w:rFonts w:ascii="Noto Serif CJK SC" w:hAnsi="Noto Serif CJK SC" w:eastAsia="Noto Serif CJK SC"/>
          <w:b w:val="0"/>
          <w:sz w:val="24"/>
        </w:rPr>
        <w:t>9. 根据权利要求1所述的方法，其特征在于，所述独立复算以原始任务属性、航段及设备参数为输入，根据最终货箱、访问顺序和具体机体、电池、工位编号重新计算交接开始及完成时刻、预计返航荷电状态、充电起止时刻和资源区间，检查货箱唯一交付、兼容关系、窗口、硬截止、返航储备和同一实体资源区间不重叠；复算未通过的方案不作为可执行配送与充电预约输出。</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