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  <w:jc w:val="center"/>
      </w:pPr>
      <w:r>
        <w:rPr>
          <w:rFonts w:ascii="Noto Serif CJK SC" w:hAnsi="Noto Serif CJK SC" w:eastAsia="Noto Serif CJK SC"/>
          <w:b/>
          <w:sz w:val="32"/>
        </w:rPr>
        <w:t>港口锚地调度专利稿审核材料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本附件供导师和代理人审阅，不属于专利正式正文。它将来源判断、保护范围讨论、待确认事项及实际运行证据集中列出。</w:t>
      </w:r>
    </w:p>
    <w:p>
      <w:pPr>
        <w:keepNext/>
        <w:spacing w:before="200"/>
        <w:jc w:val="left"/>
      </w:pPr>
      <w:r>
        <w:rPr>
          <w:rFonts w:ascii="Noto Serif CJK SC" w:hAnsi="Noto Serif CJK SC" w:eastAsia="Noto Serif CJK SC"/>
          <w:b/>
          <w:sz w:val="26"/>
        </w:rPr>
        <w:t>本轮修改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统一拆卸冷却完成、充电结束和满电再次可用，增加工位外检测转运时长；基准例该时长为0，新增实施例六为120 s。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补齐三种排程排序键及方向、局部组合比较及并列处理、唯一状态提交、整顺序失败回滚和所有尝试失败的返回含义。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公式随R1—R4步骤列出，正文变量采用可编辑上下标；图1补候选循环，图2补逐架次循环及状态回滚。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主方案与旧版主要算例保持一致。新颖性和创造性尚须具体检索，本轮未开展新的对比文献检索。</w:t>
      </w:r>
    </w:p>
    <w:p>
      <w:pPr>
        <w:keepNext/>
        <w:spacing w:before="200"/>
        <w:jc w:val="left"/>
      </w:pPr>
      <w:r>
        <w:rPr>
          <w:rFonts w:ascii="Noto Serif CJK SC" w:hAnsi="Noto Serif CJK SC" w:eastAsia="Noto Serif CJK SC"/>
          <w:b/>
          <w:sz w:val="26"/>
        </w:rPr>
        <w:t>证据文件入口</w:t>
      </w:r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来源索引（含P0286、E021等技术摘录）：</w:t>
      </w:r>
      <w:hyperlink r:id="rId10">
        <w:r>
          <w:rPr>
            <w:color w:val="0563C1"/>
          </w:rPr>
          <w:t>port-dispatch_20261012113350-source-index.md</w:t>
        </w:r>
      </w:hyperlink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原始技术摘录及原生公式XML：</w:t>
      </w:r>
      <w:hyperlink r:id="rId11">
        <w:r>
          <w:rPr>
            <w:color w:val="0563C1"/>
          </w:rPr>
          <w:t>port-dispatch_20261012113350-source-excerpts.json</w:t>
        </w:r>
      </w:hyperlink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真实运行与重复运行记录：</w:t>
      </w:r>
      <w:hyperlink r:id="rId12">
        <w:r>
          <w:rPr>
            <w:color w:val="0563C1"/>
          </w:rPr>
          <w:t>port-dispatch_20261012113350-run-log.txt</w:t>
        </w:r>
      </w:hyperlink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完整测试输入、设备绑定及资源时刻：</w:t>
      </w:r>
      <w:hyperlink r:id="rId13">
        <w:r>
          <w:rPr>
            <w:color w:val="0563C1"/>
          </w:rPr>
          <w:t>port-dispatch_20261012113350-checks.json</w:t>
        </w:r>
      </w:hyperlink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选择、提交、回滚及隔离事件：</w:t>
      </w:r>
      <w:hyperlink r:id="rId14">
        <w:r>
          <w:rPr>
            <w:color w:val="0563C1"/>
          </w:rPr>
          <w:t>port-dispatch_20261012113350-trace.jsonl</w:t>
        </w:r>
      </w:hyperlink>
    </w:p>
    <w:p>
      <w:pPr>
        <w:spacing w:line="336" w:lineRule="auto" w:after="120"/>
      </w:pPr>
      <w:r>
        <w:rPr>
          <w:rFonts w:ascii="Noto Serif CJK SC" w:hAnsi="Noto Serif CJK SC" w:eastAsia="Noto Serif CJK SC"/>
          <w:b w:val="0"/>
          <w:sz w:val="24"/>
        </w:rPr>
        <w:t>标准库原型代码：</w:t>
      </w:r>
      <w:hyperlink r:id="rId15">
        <w:r>
          <w:rPr>
            <w:color w:val="0563C1"/>
          </w:rPr>
          <w:t>port-dispatch_20261012113350-scheduler.py</w:t>
        </w:r>
      </w:hyperlink>
    </w:p>
    <w:p>
      <w:pPr>
        <w:keepNext/>
        <w:spacing w:before="200"/>
        <w:jc w:val="left"/>
      </w:pPr>
      <w:r>
        <w:rPr>
          <w:rFonts w:ascii="Noto Serif CJK SC" w:hAnsi="Noto Serif CJK SC" w:eastAsia="Noto Serif CJK SC"/>
          <w:b/>
          <w:sz w:val="26"/>
        </w:rPr>
        <w:t>技术特征证据台账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628"/>
      </w:tblGrid>
      <w:tr>
        <w:trPr>
          <w:tblHeader/>
          <w:cantSplit/>
        </w:trPr>
        <w:tc>
          <w:tcPr>
            <w:tcW w:type="dxa" w:w="3099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技术特征</w:t>
            </w:r>
          </w:p>
        </w:tc>
        <w:tc>
          <w:tcPr>
            <w:tcW w:type="dxa" w:w="3099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具体证据入口</w:t>
            </w:r>
          </w:p>
        </w:tc>
        <w:tc>
          <w:tcPr>
            <w:tcW w:type="dxa" w:w="3099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技术作用及支持边界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M01 任务、船舶窗口及机体电池工位兼容状态作为输入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P0195, C107</w:t>
              <w:br/>
              <w:t>函数：example</w:t>
            </w:r>
          </w:p>
          <w:p>
            <w:pPr>
              <w:spacing w:line="288" w:lineRule="auto" w:after="60"/>
            </w:pPr>
            <w:hyperlink r:id="rId16">
              <w:r>
                <w:rPr>
                  <w:color w:val="0563C1"/>
                </w:rPr>
                <w:t>example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限定任务与资源输入；固定接收约束及相容设备集合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M02 初始构造与每次任务/访问顺序/机型调整共用同步重排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P0246, P0232, C107</w:t>
              <w:br/>
              <w:t>函数：evaluate, schedule</w:t>
            </w:r>
          </w:p>
          <w:p>
            <w:pPr>
              <w:spacing w:line="288" w:lineRule="auto" w:after="60"/>
            </w:pPr>
            <w:hyperlink r:id="rId17">
              <w:r>
                <w:rPr>
                  <w:color w:val="0563C1"/>
                </w:rPr>
                <w:t>evaluate</w:t>
              </w:r>
            </w:hyperlink>
          </w:p>
          <w:p>
            <w:pPr>
              <w:spacing w:line="288" w:lineRule="auto" w:after="60"/>
            </w:pPr>
            <w:hyperlink r:id="rId18">
              <w:r>
                <w:rPr>
                  <w:color w:val="0563C1"/>
                </w:rPr>
                <w:t>schedule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使每次修改进入同一评价链；防止局部可飞却整体不可执行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M03 卸载后逐段能耗、预计返航SOC重算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来源索引：P0104, E021, C103, C104, C107</w:t>
              <w:br/>
              <w:t>函数：profile</w:t>
            </w:r>
          </w:p>
          <w:p>
            <w:pPr>
              <w:spacing w:line="288" w:lineRule="auto" w:after="60"/>
            </w:pPr>
            <w:hyperlink r:id="rId19">
              <w:r>
                <w:rPr>
                  <w:color w:val="0563C1"/>
                </w:rPr>
                <w:t>profile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以卸载后的质量预测返航荷电状态；确定与访问次序对应的能耗及补电需求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M04 交接窗口与硬截止转换为起飞区间并保持多窗口空隙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C107</w:t>
              <w:br/>
              <w:t>函数：profile, demonstration</w:t>
            </w:r>
          </w:p>
          <w:p>
            <w:pPr>
              <w:spacing w:line="288" w:lineRule="auto" w:after="60"/>
            </w:pPr>
            <w:hyperlink r:id="rId19">
              <w:r>
                <w:rPr>
                  <w:color w:val="0563C1"/>
                </w:rPr>
                <w:t>profile</w:t>
              </w:r>
            </w:hyperlink>
          </w:p>
          <w:p>
            <w:pPr>
              <w:spacing w:line="288" w:lineRule="auto" w:after="60"/>
            </w:pPr>
            <w:hyperlink r:id="rId20">
              <w:r>
                <w:rPr>
                  <w:color w:val="0563C1"/>
                </w:rPr>
                <w:t>demonstration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将整段交接限制转为起飞区间；拒绝反向访问与窗口空隙中的起飞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M05 从同一初始资源状态重新建立全候选时间轴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P0286, C107</w:t>
              <w:br/>
              <w:t>函数：schedule, digest</w:t>
            </w:r>
          </w:p>
          <w:p>
            <w:pPr>
              <w:spacing w:line="288" w:lineRule="auto" w:after="60"/>
            </w:pPr>
            <w:hyperlink r:id="rId18">
              <w:r>
                <w:rPr>
                  <w:color w:val="0563C1"/>
                </w:rPr>
                <w:t>schedule</w:t>
              </w:r>
            </w:hyperlink>
          </w:p>
          <w:p>
            <w:pPr>
              <w:spacing w:line="288" w:lineRule="auto" w:after="60"/>
            </w:pPr>
            <w:hyperlink r:id="rId21">
              <w:r>
                <w:rPr>
                  <w:color w:val="0563C1"/>
                </w:rPr>
                <w:t>digest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为各顺序构造相互隔离的完整状态副本；失败副本不改写下一次尝试的输入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M06 拆卸冷却、兼容工位排队、充电结束与满电再次可用递推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C106, C107</w:t>
              <w:br/>
              <w:t>函数：station_charge_time, schedule, post_charge_delay</w:t>
            </w:r>
          </w:p>
          <w:p>
            <w:pPr>
              <w:spacing w:line="288" w:lineRule="auto" w:after="60"/>
            </w:pPr>
            <w:hyperlink r:id="rId22">
              <w:r>
                <w:rPr>
                  <w:color w:val="0563C1"/>
                </w:rPr>
                <w:t>station_charge_time</w:t>
              </w:r>
            </w:hyperlink>
          </w:p>
          <w:p>
            <w:pPr>
              <w:spacing w:line="288" w:lineRule="auto" w:after="60"/>
            </w:pPr>
            <w:hyperlink r:id="rId18">
              <w:r>
                <w:rPr>
                  <w:color w:val="0563C1"/>
                </w:rPr>
                <w:t>schedule</w:t>
              </w:r>
            </w:hyperlink>
          </w:p>
          <w:p>
            <w:pPr>
              <w:spacing w:line="288" w:lineRule="auto" w:after="60"/>
            </w:pPr>
            <w:hyperlink r:id="rId23">
              <w:r>
                <w:rPr>
                  <w:color w:val="0563C1"/>
                </w:rPr>
                <w:t>post_charge_delay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由拆卸冷却与工位占用递推充电及满电可用；排队及后处理延迟传播至下一架次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M07 机体、电池、工位独立兼容分配及占用检查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P0233, C107</w:t>
              <w:br/>
              <w:t>函数：audit</w:t>
            </w:r>
          </w:p>
          <w:p>
            <w:pPr>
              <w:spacing w:line="288" w:lineRule="auto" w:after="60"/>
            </w:pPr>
            <w:hyperlink r:id="rId24">
              <w:r>
                <w:rPr>
                  <w:color w:val="0563C1"/>
                </w:rPr>
                <w:t>audit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以实体编号分别管理三类占用区间；同一共享工位不会按电池类型重复预约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M08 复算最终绑定记录后输出配送/换电/充电预约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C104, P0425, C107</w:t>
              <w:br/>
              <w:t>函数：audit, demonstration</w:t>
            </w:r>
          </w:p>
          <w:p>
            <w:pPr>
              <w:spacing w:line="288" w:lineRule="auto" w:after="60"/>
            </w:pPr>
            <w:hyperlink r:id="rId24">
              <w:r>
                <w:rPr>
                  <w:color w:val="0563C1"/>
                </w:rPr>
                <w:t>audit</w:t>
              </w:r>
            </w:hyperlink>
          </w:p>
          <w:p>
            <w:pPr>
              <w:spacing w:line="288" w:lineRule="auto" w:after="60"/>
            </w:pPr>
            <w:hyperlink r:id="rId20">
              <w:r>
                <w:rPr>
                  <w:color w:val="0563C1"/>
                </w:rPr>
                <w:t>demonstration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从最终绑定复算交付、荷电状态及占用；拒绝电池尚未就绪的输出记录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M09 变化可用合并拆分移动交换改访问次序或机型实现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来源索引：C103, C014, C107</w:t>
              <w:br/>
              <w:t>函数：neighbor_checks</w:t>
            </w:r>
          </w:p>
          <w:p>
            <w:pPr>
              <w:spacing w:line="288" w:lineRule="auto" w:after="60"/>
            </w:pPr>
            <w:hyperlink r:id="rId25">
              <w:r>
                <w:rPr>
                  <w:color w:val="0563C1"/>
                </w:rPr>
                <w:t>neighbor_checks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产生待评价的货箱和机型调整；各种调整均接受同一完整重排检查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M10 三种明确排序、局部选定提交、顺序失败回滚及完整方案比较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来源索引：P0286, P0233, C103, C104, C106, C107</w:t>
              <w:br/>
              <w:t>函数：evaluate, schedule</w:t>
            </w:r>
          </w:p>
          <w:p>
            <w:pPr>
              <w:spacing w:line="288" w:lineRule="auto" w:after="60"/>
            </w:pPr>
            <w:hyperlink r:id="rId17">
              <w:r>
                <w:rPr>
                  <w:color w:val="0563C1"/>
                </w:rPr>
                <w:t>evaluate</w:t>
              </w:r>
            </w:hyperlink>
          </w:p>
          <w:p>
            <w:pPr>
              <w:spacing w:line="288" w:lineRule="auto" w:after="60"/>
            </w:pPr>
            <w:hyperlink r:id="rId18">
              <w:r>
                <w:rPr>
                  <w:color w:val="0563C1"/>
                </w:rPr>
                <w:t>schedule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明确排序方向、局部比较与完整候选比较；局部失败后切换顺序且不宣称全局无解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M11 3/2航程拟合、两段充电、示例交接能耗及周转参数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来源索引：E012, E022, C104, C107</w:t>
              <w:br/>
              <w:t>函数：charge_time, profile</w:t>
            </w:r>
          </w:p>
          <w:p>
            <w:pPr>
              <w:spacing w:line="288" w:lineRule="auto" w:after="60"/>
            </w:pPr>
            <w:hyperlink r:id="rId26">
              <w:r>
                <w:rPr>
                  <w:color w:val="0563C1"/>
                </w:rPr>
                <w:t>charge_time</w:t>
              </w:r>
            </w:hyperlink>
          </w:p>
          <w:p>
            <w:pPr>
              <w:spacing w:line="288" w:lineRule="auto" w:after="60"/>
            </w:pPr>
            <w:hyperlink r:id="rId19">
              <w:r>
                <w:rPr>
                  <w:color w:val="0563C1"/>
                </w:rPr>
                <w:t>profile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为人工计算例给出可替换设备模型；复算已列数值，实际设备需重新标定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M12 小规模示例机制检查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来源索引：C105, C107</w:t>
              <w:br/>
              <w:t>函数：demonstration</w:t>
            </w:r>
          </w:p>
          <w:p>
            <w:pPr>
              <w:spacing w:line="288" w:lineRule="auto" w:after="60"/>
            </w:pPr>
            <w:hyperlink r:id="rId20">
              <w:r>
                <w:rPr>
                  <w:color w:val="0563C1"/>
                </w:rPr>
                <w:t>demonstration</w:t>
              </w:r>
            </w:hyperlink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给出可执行代码、输入及真实运行记录；可核查数值及回滚、快照隔离事件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Q01 真实船舶窗口、工位功率曲线、冷却及交接耗能的校准</w:t>
            </w:r>
          </w:p>
        </w:tc>
        <w:tc>
          <w:tcPr>
            <w:tcW w:type="dxa" w:w="2835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来源索引：C103</w:t>
              <w:br/>
              <w:t>函数：</w:t>
            </w:r>
          </w:p>
        </w:tc>
        <w:tc>
          <w:tcPr>
            <w:tcW w:type="dxa" w:w="3628"/>
          </w:tcPr>
          <w:p>
            <w:pPr>
              <w:spacing w:line="288" w:lineRule="auto" w:after="60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参数事实待核实；不能由模型端点代算推断真实港口效果</w:t>
            </w:r>
          </w:p>
        </w:tc>
      </w:tr>
    </w:tbl>
    <w:p>
      <w:pPr>
        <w:keepNext/>
        <w:spacing w:before="200"/>
        <w:jc w:val="left"/>
      </w:pPr>
      <w:r>
        <w:rPr>
          <w:rFonts w:ascii="Noto Serif CJK SC" w:hAnsi="Noto Serif CJK SC" w:eastAsia="Noto Serif CJK SC"/>
          <w:b/>
          <w:sz w:val="26"/>
        </w:rPr>
        <w:t>来源、效果及待确认事项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尚未锁定具体最接近对比专利，本轮没有补做对比文献检索。“完整重排”“资源副本”“独立复算”及其组合是否有实质区别，仍需按拟申请权利要求检索；不作新颖性或创造性结论。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固定搜索算法名称、三种排序、局部比较键及人工参数属于本稿一种实施方式，保护范围需结合检索由代理人提炼。船舶窗口、有限工位、交接耗能和后处理关系是海事设计扩展，不能归为原论文已验证项。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本稿未提供应急飞控或船舶动态预测算法。实际船舶窗口、能耗标定、冷却时长、工位曲线及检测转运时长仍需作业资料校准。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原型的排程和审计函数分别执行资源递推及输出复算，但共用基础物理计算函数；这不能保证模型本身无误，也不等于真实海事仿真或实飞。41个邻域候选检查不是完整模拟退火求解或全局最优证明。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图八仅为原论文MCH方法实验结果，未作为后续方法终解或本次海事效果。用户确认论文未发表，属团队建模比赛成果；公开与申请安排应结合团队权属及专业意见确认。</w:t>
      </w:r>
    </w:p>
    <w:p>
      <w:pPr>
        <w:spacing w:line="336" w:lineRule="auto" w:after="120"/>
        <w:ind w:firstLine="420"/>
      </w:pPr>
      <w:r>
        <w:rPr>
          <w:rFonts w:ascii="Noto Serif CJK SC" w:hAnsi="Noto Serif CJK SC" w:eastAsia="Noto Serif CJK SC"/>
          <w:b w:val="0"/>
          <w:sz w:val="24"/>
        </w:rPr>
        <w:t>排程尝试失败仅表示本实现未找到完整可行方案。每种顺序采用局部选定而不回溯设备组合，并非枚举全部可行调度；应结合真实输入开展进一步验证。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1learner1/supreme-adventure/blob/main/docs/patents/port-anchor-drone-dispatch/port-dispatch_20261012113350-source-index.md" TargetMode="External"/><Relationship Id="rId11" Type="http://schemas.openxmlformats.org/officeDocument/2006/relationships/hyperlink" Target="https://github.com/1learner1/supreme-adventure/blob/main/docs/patents/port-anchor-drone-dispatch/port-dispatch_20261012113350-source-excerpts.json" TargetMode="External"/><Relationship Id="rId12" Type="http://schemas.openxmlformats.org/officeDocument/2006/relationships/hyperlink" Target="https://github.com/1learner1/supreme-adventure/blob/main/docs/patents/port-anchor-drone-dispatch/port-dispatch_20261012113350-run-log.txt" TargetMode="External"/><Relationship Id="rId13" Type="http://schemas.openxmlformats.org/officeDocument/2006/relationships/hyperlink" Target="https://github.com/1learner1/supreme-adventure/blob/main/docs/patents/port-anchor-drone-dispatch/port-dispatch_20261012113350-checks.json" TargetMode="External"/><Relationship Id="rId14" Type="http://schemas.openxmlformats.org/officeDocument/2006/relationships/hyperlink" Target="https://github.com/1learner1/supreme-adventure/blob/main/docs/patents/port-anchor-drone-dispatch/port-dispatch_20261012113350-trace.jsonl" TargetMode="External"/><Relationship Id="rId15" Type="http://schemas.openxmlformats.org/officeDocument/2006/relationships/hyperlink" Target="https://github.com/1learner1/supreme-adventure/blob/main/docs/patents/port-anchor-drone-dispatch/port-dispatch_20261012113350-scheduler.py" TargetMode="External"/><Relationship Id="rId16" Type="http://schemas.openxmlformats.org/officeDocument/2006/relationships/hyperlink" Target="https://github.com/1learner1/supreme-adventure/blob/main/docs/patents/port-anchor-drone-dispatch/port-dispatch_20261012113350-scheduler.py#L27" TargetMode="External"/><Relationship Id="rId17" Type="http://schemas.openxmlformats.org/officeDocument/2006/relationships/hyperlink" Target="https://github.com/1learner1/supreme-adventure/blob/main/docs/patents/port-anchor-drone-dispatch/port-dispatch_20261012113350-scheduler.py#L222" TargetMode="External"/><Relationship Id="rId18" Type="http://schemas.openxmlformats.org/officeDocument/2006/relationships/hyperlink" Target="https://github.com/1learner1/supreme-adventure/blob/main/docs/patents/port-anchor-drone-dispatch/port-dispatch_20261012113350-scheduler.py#L102" TargetMode="External"/><Relationship Id="rId19" Type="http://schemas.openxmlformats.org/officeDocument/2006/relationships/hyperlink" Target="https://github.com/1learner1/supreme-adventure/blob/main/docs/patents/port-anchor-drone-dispatch/port-dispatch_20261012113350-scheduler.py#L46" TargetMode="External"/><Relationship Id="rId20" Type="http://schemas.openxmlformats.org/officeDocument/2006/relationships/hyperlink" Target="https://github.com/1learner1/supreme-adventure/blob/main/docs/patents/port-anchor-drone-dispatch/port-dispatch_20261012113350-scheduler.py#L289" TargetMode="External"/><Relationship Id="rId21" Type="http://schemas.openxmlformats.org/officeDocument/2006/relationships/hyperlink" Target="https://github.com/1learner1/supreme-adventure/blob/main/docs/patents/port-anchor-drone-dispatch/port-dispatch_20261012113350-scheduler.py#L13" TargetMode="External"/><Relationship Id="rId22" Type="http://schemas.openxmlformats.org/officeDocument/2006/relationships/hyperlink" Target="https://github.com/1learner1/supreme-adventure/blob/main/docs/patents/port-anchor-drone-dispatch/port-dispatch_20261012113350-scheduler.py#L41" TargetMode="External"/><Relationship Id="rId23" Type="http://schemas.openxmlformats.org/officeDocument/2006/relationships/hyperlink" Target="https://github.com/1learner1/supreme-adventure/blob/main/docs/patents/port-anchor-drone-dispatch/port-dispatch_20261012113350-scheduler.py#L20" TargetMode="External"/><Relationship Id="rId24" Type="http://schemas.openxmlformats.org/officeDocument/2006/relationships/hyperlink" Target="https://github.com/1learner1/supreme-adventure/blob/main/docs/patents/port-anchor-drone-dispatch/port-dispatch_20261012113350-scheduler.py#L167" TargetMode="External"/><Relationship Id="rId25" Type="http://schemas.openxmlformats.org/officeDocument/2006/relationships/hyperlink" Target="https://github.com/1learner1/supreme-adventure/blob/main/docs/patents/port-anchor-drone-dispatch/port-dispatch_20261012113350-scheduler.py#L236" TargetMode="External"/><Relationship Id="rId26" Type="http://schemas.openxmlformats.org/officeDocument/2006/relationships/hyperlink" Target="https://github.com/1learner1/supreme-adventure/blob/main/docs/patents/port-anchor-drone-dispatch/port-dispatch_20261012113350-scheduler.py#L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