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权利要求书</w:t>
      </w:r>
    </w:p>
    <w:p>
      <w:pPr>
        <w:spacing w:line="360" w:lineRule="auto"/>
      </w:pPr>
      <w:r>
        <w:rPr>
          <w:rFonts w:ascii="宋体" w:hAnsi="宋体" w:eastAsia="宋体"/>
          <w:b w:val="0"/>
          <w:sz w:val="24"/>
        </w:rPr>
        <w:t>1. 一种港口锚地无人机配送任务与电池周转同步重排方法，其特征在于，由调度计算机执行以下步骤：</w:t>
        <w:br/>
        <w:t>S1，获取配送货箱、船舶接收点及接收窗口、物资硬截止，以及实体无人机、兼容电池和有限充电工位的状态及兼容关系，保存用于候选比较的资源初始状态；</w:t>
        <w:br/>
        <w:t>S2，分配货箱并确定候选机型及船舶访问顺序，构造初始配送架次集合，调用同步资源排程过程形成通过约束检查的初始方案；</w:t>
        <w:br/>
        <w:t>S3，对配送架次的货箱组合、船舶访问顺序或机型进行调整，每次调整后均调用所述同步资源排程过程：按照交付后剩余载荷重新计算各航段能耗及预计返航电量，将各船舶接收窗口与物资硬截止转换为可起飞区间，从所述资源初始状态重新分配全部待执行架次的实体无人机、兼容电池、起飞时刻和兼容充电工位；根据预计返航电量、返航后电池周转完成时刻及工位占用确定充电结束时刻，将充电结束时刻作为电池再次可用时刻反馈至后续架次，重建机体、电池和工位的完整占用时间轴，以重建后的交付时刻、电量及资源占用是否满足约束判断该调整能否执行；</w:t>
        <w:br/>
        <w:t>S4，依据所选择方案的货箱分配、访问顺序及资源绑定记录独立复算，输出通过复算的配送任务、实体无人机与电池绑定、换电安排及充电工位预约。</w:t>
      </w:r>
    </w:p>
    <w:p>
      <w:pPr>
        <w:spacing w:line="360" w:lineRule="auto"/>
      </w:pPr>
      <w:r>
        <w:rPr>
          <w:rFonts w:ascii="宋体" w:hAnsi="宋体" w:eastAsia="宋体"/>
          <w:b w:val="0"/>
          <w:sz w:val="24"/>
        </w:rPr>
        <w:t>2. 根据权利要求1所述的方法，其特征在于，所述可起飞区间通过以下方式确定：根据访问顺序计算从起飞至各船舶交接开始和完成的偏移，将选定接收窗口起点减去交接开始偏移作为起飞下界，将窗口终点及对应货箱硬截止分别减去交接完成偏移作为起飞上界，对各船舶和各货箱所得约束求交集；多接收窗口时分别计算窗口组合对应的区间，不将相离区间之间的时间视为可起飞时间；在所选窗口内完成该船舶的整个交接过程。</w:t>
      </w:r>
    </w:p>
    <w:p>
      <w:pPr>
        <w:spacing w:line="360" w:lineRule="auto"/>
      </w:pPr>
      <w:r>
        <w:rPr>
          <w:rFonts w:ascii="宋体" w:hAnsi="宋体" w:eastAsia="宋体"/>
          <w:b w:val="0"/>
          <w:sz w:val="24"/>
        </w:rPr>
        <w:t>3. 根据权利要求1所述的方法，其特征在于，起飞载荷由架次内全部不可拆货箱质量之和确定，起飞总体积由全部货箱体积之和确定，每完成一个船舶交付后扣除相应货箱质量，以剩余载荷计算下一航段能耗；将包括返航航段的能耗与交接能耗相加确定架次能耗，结合电池可用能量计算预计返航荷电状态并检查返航储备。</w:t>
      </w:r>
    </w:p>
    <w:p>
      <w:pPr>
        <w:spacing w:line="360" w:lineRule="auto"/>
      </w:pPr>
      <w:r>
        <w:rPr>
          <w:rFonts w:ascii="宋体" w:hAnsi="宋体" w:eastAsia="宋体"/>
          <w:b w:val="0"/>
          <w:sz w:val="24"/>
        </w:rPr>
        <w:t>4. 根据权利要求1所述的方法，其特征在于，针对候选的实体无人机、电池及工位绑定，在所述可起飞区间内确定起飞时刻，使起飞前准备开始时刻不早于机体可用、电池满电可用及物资备妥时刻；机体返航完成自身周转后释放，电池完成必要补电及周转后释放，各候选绑定使用临时状态计算，未选中的候选绑定不写入当前资源时间轴。</w:t>
      </w:r>
    </w:p>
    <w:p>
      <w:pPr>
        <w:spacing w:line="360" w:lineRule="auto"/>
      </w:pPr>
      <w:r>
        <w:rPr>
          <w:rFonts w:ascii="宋体" w:hAnsi="宋体" w:eastAsia="宋体"/>
          <w:b w:val="0"/>
          <w:sz w:val="24"/>
        </w:rPr>
        <w:t>5. 根据权利要求1所述的方法，其特征在于，电池预计返航后，以电池拆卸冷却完成时刻和所选兼容充电工位可用时刻中的较晚者作为充电开始时刻，根据预计返航荷电状态和对应电池—工位充电参数计算充电时长，得到充电结束时刻并更新该电池及该工位的下一可用时刻；同一实体工位即使兼容多个电池类型也仅使用一份占用时间轴。</w:t>
      </w:r>
    </w:p>
    <w:p>
      <w:pPr>
        <w:spacing w:line="360" w:lineRule="auto"/>
      </w:pPr>
      <w:r>
        <w:rPr>
          <w:rFonts w:ascii="宋体" w:hAnsi="宋体" w:eastAsia="宋体"/>
          <w:b w:val="0"/>
          <w:sz w:val="24"/>
        </w:rPr>
        <w:t>6. 根据权利要求1所述的方法，其特征在于，分别记录机体从起飞前准备开始至返航周转结束的占用区间、电池从起飞前准备开始至补电周转完成的占用区间以及工位实际充电区间，同一机体、同一电池和同一工位各自的占用区间互不重叠；前一区间结束时允许后一区间开始。</w:t>
      </w:r>
    </w:p>
    <w:p>
      <w:pPr>
        <w:spacing w:line="360" w:lineRule="auto"/>
      </w:pPr>
      <w:r>
        <w:rPr>
          <w:rFonts w:ascii="宋体" w:hAnsi="宋体" w:eastAsia="宋体"/>
          <w:b w:val="0"/>
          <w:sz w:val="24"/>
        </w:rPr>
        <w:t>7. 根据权利要求1所述的方法，其特征在于，所述调整包括合并配送架次、拆分配送架次、跨架次移动或交换货箱、改变船舶访问顺序以及变更架次机型中的至少一种；每种调整均保持货箱整箱唯一归属，并对调整后的全部待执行架次调用同一个同步资源排程过程，不沿用调整前的起飞时刻、返航电量或充电预约作为调整后的排程。</w:t>
      </w:r>
    </w:p>
    <w:p>
      <w:pPr>
        <w:spacing w:line="360" w:lineRule="auto"/>
      </w:pPr>
      <w:r>
        <w:rPr>
          <w:rFonts w:ascii="宋体" w:hAnsi="宋体" w:eastAsia="宋体"/>
          <w:b w:val="0"/>
          <w:sz w:val="24"/>
        </w:rPr>
        <w:t>8. 根据权利要求1所述的方法，其特征在于，所述同步资源排程过程对同一候选架次集合采用不同架次排程顺序分别重建时间轴，各排程顺序从相同的资源初始状态独立计算；先筛除违反接收窗口、物资硬截止、承载能力、返航储备及资源占用的完整排程，再对可行排程按加权迟到量、最晚返航时刻、运输能耗和架次数的优先次序比较。</w:t>
      </w:r>
    </w:p>
    <w:p>
      <w:pPr>
        <w:spacing w:line="360" w:lineRule="auto"/>
      </w:pPr>
      <w:r>
        <w:rPr>
          <w:rFonts w:ascii="宋体" w:hAnsi="宋体" w:eastAsia="宋体"/>
          <w:b w:val="0"/>
          <w:sz w:val="24"/>
        </w:rPr>
        <w:t>9. 根据权利要求1所述的方法，其特征在于，所述独立复算以原始任务属性、航段及设备参数为输入，根据最终货箱、访问顺序和具体机体、电池、工位编号重新计算交接开始及完成时刻、预计返航荷电状态、充电起止时刻和资源区间，检查货箱唯一交付、兼容关系、窗口、硬截止、返航储备和同一实体资源区间不重叠；复算未通过的方案不作为可执行配送与充电预约输出。</w:t>
      </w:r>
    </w:p>
    <w:p>
      <w:r>
        <w:br w:type="page"/>
      </w:r>
    </w:p>
    <w:p>
      <w:pPr>
        <w:keepNext/>
        <w:jc w:val="center"/>
      </w:pPr>
      <w:r>
        <w:rPr>
          <w:rFonts w:ascii="宋体" w:hAnsi="宋体" w:eastAsia="宋体"/>
          <w:b/>
          <w:sz w:val="32"/>
        </w:rPr>
        <w:t>说明书</w:t>
      </w:r>
    </w:p>
    <w:p>
      <w:pPr>
        <w:keepNext/>
        <w:jc w:val="left"/>
      </w:pPr>
      <w:r>
        <w:rPr>
          <w:rFonts w:ascii="宋体" w:hAnsi="宋体" w:eastAsia="宋体"/>
          <w:b/>
          <w:sz w:val="28"/>
        </w:rPr>
        <w:t>一种港口锚地无人机配送任务与电池周转同步重排方法</w:t>
      </w:r>
    </w:p>
    <w:p>
      <w:pPr>
        <w:keepNext/>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本发明涉及港口锚地无人机物资配送及电池资源调度，具体涉及配送任务调整后的机体、电池和充电工位周转同步重排方法。</w:t>
      </w:r>
    </w:p>
    <w:p>
      <w:pPr>
        <w:keepNext/>
        <w:jc w:val="left"/>
      </w:pPr>
      <w:r>
        <w:rPr>
          <w:rFonts w:ascii="宋体" w:hAnsi="宋体" w:eastAsia="宋体"/>
          <w:b/>
          <w:sz w:val="28"/>
        </w:rPr>
        <w:t>背景技术</w:t>
      </w:r>
    </w:p>
    <w:p>
      <w:pPr>
        <w:spacing w:line="360" w:lineRule="auto"/>
        <w:ind w:firstLine="420"/>
      </w:pPr>
      <w:r>
        <w:rPr>
          <w:rFonts w:ascii="宋体" w:hAnsi="宋体" w:eastAsia="宋体"/>
          <w:b w:val="0"/>
          <w:sz w:val="24"/>
        </w:rPr>
        <w:t>岸基配送站使用不同机型向锚泊船舶配送药品、备件等物资，一个架次可以访问多艘船后返航。有限机体、可更换电池与充电工位需要在后续架次中重复使用。船舶接收作业又受到接收窗口和物资交付时限约束。</w:t>
      </w:r>
    </w:p>
    <w:p>
      <w:pPr>
        <w:spacing w:line="360" w:lineRule="auto"/>
        <w:ind w:firstLine="420"/>
      </w:pPr>
      <w:r>
        <w:rPr>
          <w:rFonts w:ascii="宋体" w:hAnsi="宋体" w:eastAsia="宋体"/>
          <w:b w:val="0"/>
          <w:sz w:val="24"/>
        </w:rPr>
        <w:t>仅确定能飞完的路线，不能确定整套作业可以执行。合并或改变访问顺序会改变卸载后的航段载荷和能耗、预计返航电量、补电时间及后续出勤；即使机体空闲，所需兼容电池也可能尚未充满，返航电池还可能等待工位。</w:t>
      </w:r>
    </w:p>
    <w:p>
      <w:pPr>
        <w:spacing w:line="360" w:lineRule="auto"/>
        <w:ind w:firstLine="420"/>
      </w:pPr>
      <w:r>
        <w:rPr>
          <w:rFonts w:ascii="宋体" w:hAnsi="宋体" w:eastAsia="宋体"/>
          <w:b w:val="0"/>
          <w:sz w:val="24"/>
        </w:rPr>
        <w:t>因此需要将候选任务变化引起的飞行与能源周转影响传播至全部后续任务，并结合接收窗口及具体设备占用判断候选能否执行。这里描述的不足是本稿拟解决的机制问题，尚未锁定具体最接近对比专利。</w:t>
      </w:r>
    </w:p>
    <w:p>
      <w:pPr>
        <w:keepNext/>
        <w:jc w:val="left"/>
      </w:pPr>
      <w:r>
        <w:rPr>
          <w:rFonts w:ascii="宋体" w:hAnsi="宋体" w:eastAsia="宋体"/>
          <w:b/>
          <w:sz w:val="28"/>
        </w:rPr>
        <w:t>发明内容</w:t>
      </w:r>
    </w:p>
    <w:p>
      <w:pPr>
        <w:spacing w:line="360" w:lineRule="auto"/>
        <w:ind w:firstLine="420"/>
      </w:pPr>
      <w:r>
        <w:rPr>
          <w:rFonts w:ascii="宋体" w:hAnsi="宋体" w:eastAsia="宋体"/>
          <w:b w:val="0"/>
          <w:sz w:val="24"/>
        </w:rPr>
        <w:t>要解决的具体技术问题是，港口多船配送任务的局部调整可能改变后续机体、电池及充电资源可用时刻，使原交接安排超出接收窗口或发生资源冲突，而只检查调整架次本身不能发现这些影响。</w:t>
      </w:r>
    </w:p>
    <w:p>
      <w:pPr>
        <w:spacing w:line="360" w:lineRule="auto"/>
        <w:ind w:firstLine="420"/>
      </w:pPr>
      <w:r>
        <w:rPr>
          <w:rFonts w:ascii="宋体" w:hAnsi="宋体" w:eastAsia="宋体"/>
          <w:b w:val="0"/>
          <w:sz w:val="24"/>
        </w:rPr>
        <w:t>采用下述四步骤方法，共用同步资源排程过程贯穿初始构造和每一次候选调整。</w:t>
      </w:r>
    </w:p>
    <w:p>
      <w:pPr>
        <w:spacing w:line="360" w:lineRule="auto"/>
        <w:ind w:firstLine="420"/>
      </w:pPr>
      <w:r>
        <w:rPr>
          <w:rFonts w:ascii="宋体" w:hAnsi="宋体" w:eastAsia="宋体"/>
          <w:b w:val="0"/>
          <w:sz w:val="24"/>
        </w:rPr>
        <w:t>S1，获取配送货箱、船舶接收点及接收窗口、物资硬截止，以及实体无人机、兼容电池和有限充电工位的状态及兼容关系，保存用于候选比较的资源初始状态；</w:t>
      </w:r>
    </w:p>
    <w:p>
      <w:pPr>
        <w:spacing w:line="360" w:lineRule="auto"/>
        <w:ind w:firstLine="420"/>
      </w:pPr>
      <w:r>
        <w:rPr>
          <w:rFonts w:ascii="宋体" w:hAnsi="宋体" w:eastAsia="宋体"/>
          <w:b w:val="0"/>
          <w:sz w:val="24"/>
        </w:rPr>
        <w:t>S2，分配货箱并确定候选机型及船舶访问顺序，构造初始配送架次集合，调用同步资源排程过程形成通过约束检查的初始方案；</w:t>
      </w:r>
    </w:p>
    <w:p>
      <w:pPr>
        <w:spacing w:line="360" w:lineRule="auto"/>
        <w:ind w:firstLine="420"/>
      </w:pPr>
      <w:r>
        <w:rPr>
          <w:rFonts w:ascii="宋体" w:hAnsi="宋体" w:eastAsia="宋体"/>
          <w:b w:val="0"/>
          <w:sz w:val="24"/>
        </w:rPr>
        <w:t>S3，对配送架次的货箱组合、船舶访问顺序或机型进行调整，每次调整后均调用所述同步资源排程过程：按照交付后剩余载荷重新计算各航段能耗及预计返航电量，将各船舶接收窗口与物资硬截止转换为可起飞区间，从所述资源初始状态重新分配全部待执行架次的实体无人机、兼容电池、起飞时刻和兼容充电工位；根据预计返航电量、返航后电池周转完成时刻及工位占用确定充电结束时刻，将充电结束时刻作为电池再次可用时刻反馈至后续架次，重建机体、电池和工位的完整占用时间轴，以重建后的交付时刻、电量及资源占用是否满足约束判断该调整能否执行；</w:t>
      </w:r>
    </w:p>
    <w:p>
      <w:pPr>
        <w:spacing w:line="360" w:lineRule="auto"/>
        <w:ind w:firstLine="420"/>
      </w:pPr>
      <w:r>
        <w:rPr>
          <w:rFonts w:ascii="宋体" w:hAnsi="宋体" w:eastAsia="宋体"/>
          <w:b w:val="0"/>
          <w:sz w:val="24"/>
        </w:rPr>
        <w:t>S4，依据所选择方案的货箱分配、访问顺序及资源绑定记录独立复算，输出通过复算的配送任务、实体无人机与电池绑定、换电安排及充电工位预约。</w:t>
      </w:r>
    </w:p>
    <w:p>
      <w:pPr>
        <w:spacing w:line="360" w:lineRule="auto"/>
        <w:ind w:firstLine="420"/>
      </w:pPr>
      <w:r>
        <w:rPr>
          <w:rFonts w:ascii="宋体" w:hAnsi="宋体" w:eastAsia="宋体"/>
          <w:b w:val="0"/>
          <w:sz w:val="24"/>
        </w:rPr>
        <w:t>载荷、航时和能耗计算为基础关系；船舶接收窗口转起飞区间和有限工位排队反馈进入同步排程。合并、邻域搜索及模拟退火仅作为候选产生方式，固定算法名称、全部模型参数和试验规模不作为本方法独立项的要求。</w:t>
      </w:r>
    </w:p>
    <w:p>
      <w:pPr>
        <w:keepNext/>
        <w:jc w:val="left"/>
      </w:pPr>
      <w:r>
        <w:rPr>
          <w:rFonts w:ascii="宋体" w:hAnsi="宋体" w:eastAsia="宋体"/>
          <w:b/>
          <w:sz w:val="28"/>
        </w:rPr>
        <w:t>有益效果</w:t>
      </w:r>
    </w:p>
    <w:p>
      <w:pPr>
        <w:spacing w:line="360" w:lineRule="auto"/>
        <w:ind w:firstLine="420"/>
      </w:pPr>
      <w:r>
        <w:rPr>
          <w:rFonts w:ascii="宋体" w:hAnsi="宋体" w:eastAsia="宋体"/>
          <w:b w:val="0"/>
          <w:sz w:val="24"/>
        </w:rPr>
        <w:t>通过调整后逐段复算并完整重建资源时间轴，可以发现访问变化虽不改变总距离却越过船舶接收窗口的情况。</w:t>
      </w:r>
    </w:p>
    <w:p>
      <w:pPr>
        <w:spacing w:line="360" w:lineRule="auto"/>
        <w:ind w:firstLine="420"/>
      </w:pPr>
      <w:r>
        <w:rPr>
          <w:rFonts w:ascii="宋体" w:hAnsi="宋体" w:eastAsia="宋体"/>
          <w:b w:val="0"/>
          <w:sz w:val="24"/>
        </w:rPr>
        <w:t>通过把预计SOC及有限工位预约的充电结束反馈至后续起飞，能够区分机体已空闲、电池未就绪以及电池等待工位三类不同资源限制。</w:t>
      </w:r>
    </w:p>
    <w:p>
      <w:pPr>
        <w:spacing w:line="360" w:lineRule="auto"/>
        <w:ind w:firstLine="420"/>
      </w:pPr>
      <w:r>
        <w:rPr>
          <w:rFonts w:ascii="宋体" w:hAnsi="宋体" w:eastAsia="宋体"/>
          <w:b w:val="0"/>
          <w:sz w:val="24"/>
        </w:rPr>
        <w:t>通过相同快照下的独立候选副本和输出记录复算，避免被拒绝候选遗留占用或沿用旧时间轴产生看似可行的配送任务。上述作用在本稿人工算例中验证机制关系，不代替完整海事作业效果评估。</w:t>
      </w:r>
    </w:p>
    <w:p>
      <w:pPr>
        <w:keepNext/>
        <w:jc w:val="left"/>
      </w:pPr>
      <w:r>
        <w:rPr>
          <w:rFonts w:ascii="宋体" w:hAnsi="宋体" w:eastAsia="宋体"/>
          <w:b/>
          <w:sz w:val="28"/>
        </w:rPr>
        <w:t>附图说明</w:t>
      </w:r>
    </w:p>
    <w:p>
      <w:pPr>
        <w:spacing w:line="360" w:lineRule="auto"/>
        <w:ind w:firstLine="420"/>
      </w:pPr>
      <w:r>
        <w:rPr>
          <w:rFonts w:ascii="宋体" w:hAnsi="宋体" w:eastAsia="宋体"/>
          <w:b w:val="0"/>
          <w:sz w:val="24"/>
        </w:rPr>
        <w:t>图1为S1至S4的任务调整与周转同步重排流程图，同时作为摘要附图。</w:t>
      </w:r>
    </w:p>
    <w:p>
      <w:pPr>
        <w:spacing w:line="360" w:lineRule="auto"/>
        <w:ind w:firstLine="420"/>
      </w:pPr>
      <w:r>
        <w:rPr>
          <w:rFonts w:ascii="宋体" w:hAnsi="宋体" w:eastAsia="宋体"/>
          <w:b w:val="0"/>
          <w:sz w:val="24"/>
        </w:rPr>
        <w:t>图2为初始构造S2及候选调整S3共用的同步资源排程过程。</w:t>
      </w:r>
    </w:p>
    <w:p>
      <w:pPr>
        <w:spacing w:line="360" w:lineRule="auto"/>
        <w:ind w:firstLine="420"/>
      </w:pPr>
      <w:r>
        <w:rPr>
          <w:rFonts w:ascii="宋体" w:hAnsi="宋体" w:eastAsia="宋体"/>
          <w:b w:val="0"/>
          <w:sz w:val="24"/>
        </w:rPr>
        <w:t>图3为访问或机型变化通过能耗、排队和补电时刻影响后续交付的依赖关系。</w:t>
      </w:r>
    </w:p>
    <w:p>
      <w:pPr>
        <w:keepNext/>
        <w:jc w:val="left"/>
      </w:pPr>
      <w:r>
        <w:rPr>
          <w:rFonts w:ascii="宋体" w:hAnsi="宋体" w:eastAsia="宋体"/>
          <w:b/>
          <w:sz w:val="28"/>
        </w:rPr>
        <w:t>公式及符号说明</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i</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式（1）：q_p0为架次全部货箱起飞总质量kg；q_pr为第r艘船交付后剩余质量；m_k为不可拆货箱质量，K_p为本架次货箱集合，i(k)为其目的船舶，i_r为第r个访问船舶。后续航段采用交付后的载荷，末次返航为空载。</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sSubSup>
                <m:e>
                  <m:r>
                    <m:rPr>
                      <m:sty m:val="p"/>
                    </m:rPr>
                    <m:t>v</m:t>
                  </m:r>
                </m:e>
                <m:sub>
                  <m:r>
                    <m:rPr>
                      <m:sty m:val="p"/>
                    </m:rPr>
                    <m:t>g</m:t>
                  </m:r>
                </m:sub>
                <m:sup>
                  <m:r>
                    <m:rPr>
                      <m:sty m:val="p"/>
                    </m:rPr>
                    <m:t>u</m:t>
                  </m:r>
                  <m:r>
                    <m:rPr>
                      <m:sty m:val="p"/>
                    </m:rPr>
                    <m:t>p</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r>
                    <m:rPr>
                      <m:sty m:val="p"/>
                    </m:rPr>
                    <m:t>r</m:t>
                  </m:r>
                </m:sup>
              </m:sSubSup>
            </m:den>
          </m:f>
          <m:r>
            <m:rPr>
              <m:sty m:val="p"/>
            </m:rPr>
            <m:t>+</m:t>
          </m:r>
          <m:f>
            <m:num>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j</m:t>
                  </m:r>
                </m:sub>
              </m:sSub>
              <m:r>
                <m:rPr>
                  <m:sty m:val="p"/>
                </m:rPr>
                <m:t>)</m:t>
              </m:r>
            </m:num>
            <m:den>
              <m:sSubSup>
                <m:e>
                  <m:r>
                    <m:rPr>
                      <m:sty m:val="p"/>
                    </m:rPr>
                    <m:t>v</m:t>
                  </m:r>
                </m:e>
                <m:sub>
                  <m:r>
                    <m:rPr>
                      <m:sty m:val="p"/>
                    </m:rPr>
                    <m:t>g</m:t>
                  </m:r>
                </m:sub>
                <m:sup>
                  <m:r>
                    <m:rPr>
                      <m:sty m:val="p"/>
                    </m:rPr>
                    <m:t>d</m:t>
                  </m:r>
                  <m:r>
                    <m:rPr>
                      <m:sty m:val="p"/>
                    </m:rPr>
                    <m:t>o</m:t>
                  </m:r>
                  <m:r>
                    <m:rPr>
                      <m:sty m:val="p"/>
                    </m:rPr>
                    <m:t>w</m:t>
                  </m:r>
                  <m:r>
                    <m:rPr>
                      <m:sty m:val="p"/>
                    </m:rPr>
                    <m:t>n</m:t>
                  </m:r>
                </m:sup>
              </m:sSubSup>
            </m:den>
          </m:f>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式（2）：t_gij为机型g在节点i至j的航时s；H_ij为该航段巡航高度，z_i、z_j为节点作业高度，d_ij为水平距离m；v_g的三个分量为正的爬升、巡航、下降速度m/s。本例高度以同一基准计量。</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式（3）：L_g(q)为载荷q下水平等效航程，L_g^0/L_g^F为空载/满载航程m，Q_g为载质量kg。指数3/2为已有设计稿采用的示例拟合，不作为全部设备均应采用的模型。</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
                <m:e>
                  <m:r>
                    <m:rPr>
                      <m:sty m:val="p"/>
                    </m:rPr>
                    <m:t>E</m:t>
                  </m:r>
                </m:e>
                <m:sub>
                  <m:r>
                    <m:rPr>
                      <m:sty m:val="p"/>
                    </m:rPr>
                    <m:t>b</m:t>
                  </m:r>
                </m:sub>
              </m:sSub>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r>
                <m:rPr>
                  <m:sty m:val="p"/>
                </m:rPr>
                <m:t>max</m:t>
              </m:r>
              <m:r>
                <m:rPr>
                  <m:sty m:val="p"/>
                </m:rPr>
                <m:t>(</m:t>
              </m:r>
              <m:r>
                <m:rPr>
                  <m:sty m:val="p"/>
                </m:rPr>
                <m:t>0</m:t>
              </m:r>
              <m:r>
                <m:rPr>
                  <m:sty m:val="p"/>
                </m:rPr>
                <m:t>,</m:t>
              </m:r>
              <m:sSub>
                <m:e>
                  <m:r>
                    <m:rPr>
                      <m:sty m:val="p"/>
                    </m:rPr>
                    <m:t>H</m:t>
                  </m:r>
                </m:e>
                <m:sub>
                  <m:r>
                    <m:rPr>
                      <m:sty m:val="p"/>
                    </m:rPr>
                    <m:t>i</m:t>
                  </m:r>
                  <m:r>
                    <m:rPr>
                      <m:sty m:val="p"/>
                    </m:rPr>
                    <m:t>j</m:t>
                  </m:r>
                </m:sub>
              </m:sSub>
              <m:r>
                <m:rPr>
                  <m:sty m:val="p"/>
                </m:rPr>
                <m:t>−</m:t>
              </m:r>
              <m:sSub>
                <m:e>
                  <m:r>
                    <m:rPr>
                      <m:sty m:val="p"/>
                    </m:rPr>
                    <m:t>z</m:t>
                  </m:r>
                </m:e>
                <m:sub>
                  <m:r>
                    <m:rPr>
                      <m:sty m:val="p"/>
                    </m:rPr>
                    <m:t>i</m:t>
                  </m:r>
                </m:sub>
              </m:sSub>
              <m:r>
                <m:rPr>
                  <m:sty m:val="p"/>
                </m:rPr>
                <m:t>)</m:t>
              </m:r>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u</m:t>
                  </m:r>
                  <m:r>
                    <m:rPr>
                      <m:sty m:val="p"/>
                    </m:rPr>
                    <m:t>p</m:t>
                  </m:r>
                </m:sup>
              </m:sSubSup>
            </m:den>
          </m:f>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式（4）：E_gij(q)为水平巡航及爬升能耗kWh，E_b为兼容电池有效能量，m_g^0为含该电池配置的空载质量kg，g_0为重力加速度，η_g为爬升效率；3.6×10⁶换算J至kWh。航程输入按水平耗能标定，避免重复计入爬升。</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ℓ</m:t>
              </m:r>
              <m:r>
                <m:rPr>
                  <m:sty m:val="p"/>
                </m:rPr>
                <m:t>∈</m:t>
              </m:r>
              <m:sSub>
                <m:e>
                  <m:r>
                    <m:rPr>
                      <m:sty m:val="p"/>
                    </m:rPr>
                    <m:t>Γ</m:t>
                  </m:r>
                </m:e>
                <m:sub>
                  <m:r>
                    <m:rPr>
                      <m:sty m:val="p"/>
                    </m:rPr>
                    <m:t>p</m:t>
                  </m:r>
                </m:sub>
              </m:sSub>
            </m:sub>
          </m:sSub>
          <m:sSub>
            <m:e>
              <m:r>
                <m:rPr>
                  <m:sty m:val="p"/>
                </m:rPr>
                <m:t>E</m:t>
              </m:r>
            </m:e>
            <m:sub>
              <m:r>
                <m:rPr>
                  <m:sty m:val="p"/>
                </m:rPr>
                <m:t>g</m:t>
              </m:r>
              <m:r>
                <m:rPr>
                  <m:sty m:val="p"/>
                </m:rPr>
                <m:t>ℓ</m:t>
              </m:r>
            </m:sub>
          </m:sSub>
          <m:r>
            <m:rPr>
              <m:sty m:val="p"/>
            </m:rPr>
            <m:t>(</m:t>
          </m:r>
          <m:sSub>
            <m:e>
              <m:r>
                <m:rPr>
                  <m:sty m:val="p"/>
                </m:rPr>
                <m:t>q</m:t>
              </m:r>
            </m:e>
            <m:sub>
              <m:r>
                <m:rPr>
                  <m:sty m:val="p"/>
                </m:rPr>
                <m:t>p</m:t>
              </m:r>
              <m:r>
                <m:rPr>
                  <m:sty m:val="p"/>
                </m:rPr>
                <m:t>ℓ</m:t>
              </m:r>
            </m:sub>
          </m:sSub>
          <m:r>
            <m:rPr>
              <m:sty m:val="p"/>
            </m:rPr>
            <m:t>)</m:t>
          </m:r>
          <m:r>
            <m:rPr>
              <m:sty m:val="p"/>
            </m:rPr>
            <m:t>+</m:t>
          </m:r>
          <m:sSub>
            <m:e>
              <m:r>
                <m:rPr>
                  <m:sty m:val="p"/>
                </m:rPr>
                <m:t>∑</m:t>
              </m:r>
            </m:e>
            <m:sub>
              <m:r>
                <m:rPr>
                  <m:sty m:val="p"/>
                </m:rPr>
                <m:t>i</m:t>
              </m:r>
              <m:r>
                <m:rPr>
                  <m:sty m:val="p"/>
                </m:rPr>
                <m:t>∈</m:t>
              </m:r>
              <m:sSub>
                <m:e>
                  <m:r>
                    <m:rPr>
                      <m:sty m:val="p"/>
                    </m:rPr>
                    <m:t>I</m:t>
                  </m:r>
                </m:e>
                <m:sub>
                  <m:r>
                    <m:rPr>
                      <m:sty m:val="p"/>
                    </m:rPr>
                    <m:t>p</m:t>
                  </m:r>
                </m:sub>
              </m:sSub>
            </m:sub>
          </m:sSub>
          <m:f>
            <m:num>
              <m:sSubSup>
                <m:e>
                  <m:r>
                    <m:rPr>
                      <m:sty m:val="p"/>
                    </m:rPr>
                    <m:t>P</m:t>
                  </m:r>
                </m:e>
                <m:sub>
                  <m:r>
                    <m:rPr>
                      <m:sty m:val="p"/>
                    </m:rPr>
                    <m:t>g</m:t>
                  </m:r>
                  <m:r>
                    <m:rPr>
                      <m:sty m:val="p"/>
                    </m:rPr>
                    <m:t>i</m:t>
                  </m:r>
                </m:sub>
                <m:sup>
                  <m:r>
                    <m:rPr>
                      <m:sty m:val="p"/>
                    </m:rPr>
                    <m:t>h</m:t>
                  </m:r>
                  <m:r>
                    <m:rPr>
                      <m:sty m:val="p"/>
                    </m:rPr>
                    <m:t>a</m:t>
                  </m:r>
                  <m:r>
                    <m:rPr>
                      <m:sty m:val="p"/>
                    </m:rPr>
                    <m:t>n</m:t>
                  </m:r>
                  <m:r>
                    <m:rPr>
                      <m:sty m:val="p"/>
                    </m:rPr>
                    <m:t>d</m:t>
                  </m:r>
                  <m:r>
                    <m:rPr>
                      <m:sty m:val="p"/>
                    </m:rPr>
                    <m:t>o</m:t>
                  </m:r>
                  <m:r>
                    <m:rPr>
                      <m:sty m:val="p"/>
                    </m:rPr>
                    <m:t>v</m:t>
                  </m:r>
                  <m:r>
                    <m:rPr>
                      <m:sty m:val="p"/>
                    </m:rPr>
                    <m:t>e</m:t>
                  </m:r>
                  <m:r>
                    <m:rPr>
                      <m:sty m:val="p"/>
                    </m:rPr>
                    <m:t>r</m:t>
                  </m:r>
                </m:sup>
              </m:sSubSup>
              <m:sSub>
                <m:e>
                  <m:r>
                    <m:rPr>
                      <m:sty m:val="p"/>
                    </m:rPr>
                    <m:t>τ</m:t>
                  </m:r>
                </m:e>
                <m:sub>
                  <m:r>
                    <m:rPr>
                      <m:sty m:val="p"/>
                    </m:rPr>
                    <m:t>i</m:t>
                  </m:r>
                </m:sub>
              </m:sSub>
            </m:num>
            <m:den>
              <m:r>
                <m:rPr>
                  <m:sty m:val="p"/>
                </m:rPr>
                <m:t>3600</m:t>
              </m:r>
            </m:den>
          </m:f>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式（5）：E_p为本架次全部航段和各船交接耗能之和；Γ_p为全部航段含返航，I_p为访问船舶集合，P_gi^handover为交接功率kW，τ_i为交接时长s。交接耗能为本海事设计补充，不能归为原论文已验证项。</w:t>
      </w:r>
    </w:p>
    <w:p>
      <w:pPr>
        <w:spacing w:before="120" w:after="120"/>
        <w:jc w:val="center"/>
      </w:pPr>
      <m:oMathPara>
        <m:oMath>
          <m:sSub>
            <m:e>
              <m:r>
                <m:rPr>
                  <m:sty m:val="p"/>
                </m:rPr>
                <m:t>σ</m:t>
              </m:r>
            </m:e>
            <m:sub>
              <m:r>
                <m:rPr>
                  <m:sty m:val="p"/>
                </m:rPr>
                <m:t>p</m:t>
              </m:r>
              <m:r>
                <m:rPr>
                  <m:sty m:val="p"/>
                </m:rPr>
                <m:t>b</m:t>
              </m:r>
            </m:sub>
          </m:sSub>
          <m:r>
            <m:rPr>
              <m:sty m:val="p"/>
            </m:rPr>
            <m:t>=</m:t>
          </m:r>
          <m:r>
            <m:rPr>
              <m:sty m:val="p"/>
            </m:rPr>
            <m:t>1</m:t>
          </m:r>
          <m:r>
            <m:rPr>
              <m:sty m:val="p"/>
            </m:rPr>
            <m:t>−</m:t>
          </m:r>
          <m:f>
            <m:num>
              <m:sSub>
                <m:e>
                  <m:r>
                    <m:rPr>
                      <m:sty m:val="p"/>
                    </m:rPr>
                    <m:t>E</m:t>
                  </m:r>
                </m:e>
                <m:sub>
                  <m:r>
                    <m:rPr>
                      <m:sty m:val="p"/>
                    </m:rPr>
                    <m:t>p</m:t>
                  </m:r>
                </m:sub>
              </m:sSub>
            </m:num>
            <m:den>
              <m:sSub>
                <m:e>
                  <m:r>
                    <m:rPr>
                      <m:sty m:val="p"/>
                    </m:rPr>
                    <m:t>E</m:t>
                  </m:r>
                </m:e>
                <m:sub>
                  <m:r>
                    <m:rPr>
                      <m:sty m:val="p"/>
                    </m:rPr>
                    <m:t>b</m:t>
                  </m:r>
                </m:sub>
              </m:sSub>
            </m:den>
          </m:f>
          <m:r>
            <m:rPr>
              <m:sty m:val="p"/>
            </m:rPr>
            <m:t>,</m:t>
          </m:r>
          <m:r>
            <m:rPr>
              <m:sty m:val="p"/>
            </m:rPr>
            <m:t> </m:t>
          </m:r>
          <m:sSub>
            <m:e>
              <m:r>
                <m:rPr>
                  <m:sty m:val="p"/>
                </m:rPr>
                <m:t>σ</m:t>
              </m:r>
            </m:e>
            <m:sub>
              <m:r>
                <m:rPr>
                  <m:sty m:val="p"/>
                </m:rPr>
                <m:t>p</m:t>
              </m:r>
              <m:r>
                <m:rPr>
                  <m:sty m:val="p"/>
                </m:rPr>
                <m:t>b</m:t>
              </m:r>
            </m:sub>
          </m:sSub>
          <m:r>
            <m:rPr>
              <m:sty m:val="p"/>
            </m:rPr>
            <m:t>≥</m:t>
          </m:r>
          <m:sSub>
            <m:e>
              <m:r>
                <m:rPr>
                  <m:sty m:val="p"/>
                </m:rPr>
                <m:t>ρ</m:t>
              </m:r>
            </m:e>
            <m:sub>
              <m:r>
                <m:rPr>
                  <m:sty m:val="p"/>
                </m:rPr>
                <m:t>b</m:t>
              </m:r>
            </m:sub>
          </m:sSub>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式（6）：σ_pb为电池b执行架次p的预计返航SOC，本实施例起飞SOC=1，ρ_b为返航储备比例。本式为执行前预测，不要求实际返航后才进行候选评价。</w:t>
      </w:r>
    </w:p>
    <w:p>
      <w:pPr>
        <w:spacing w:before="120" w:after="120"/>
        <w:jc w:val="center"/>
      </w:pPr>
      <m:oMathPara>
        <m:oMath>
          <m:sSub>
            <m:e>
              <m:r>
                <m:rPr>
                  <m:sty m:val="p"/>
                </m:rPr>
                <m:t>L</m:t>
              </m:r>
            </m:e>
            <m:sub>
              <m:r>
                <m:rPr>
                  <m:sty m:val="p"/>
                </m:rPr>
                <m:t>p</m:t>
              </m:r>
            </m:sub>
          </m:sSub>
          <m:r>
            <m:rPr>
              <m:sty m:val="p"/>
            </m:rPr>
            <m:t>=</m:t>
          </m:r>
          <m:sSub>
            <m:e>
              <m:r>
                <m:rPr>
                  <m:sty m:val="p"/>
                </m:rPr>
                <m:t>max</m:t>
              </m:r>
            </m:e>
            <m:sub>
              <m:r>
                <m:rPr>
                  <m:sty m:val="p"/>
                </m:rPr>
                <m:t>i</m:t>
              </m:r>
              <m:r>
                <m:rPr>
                  <m:sty m:val="p"/>
                </m:rPr>
                <m:t>∈</m:t>
              </m:r>
              <m:sSub>
                <m:e>
                  <m:r>
                    <m:rPr>
                      <m:sty m:val="p"/>
                    </m:rPr>
                    <m:t>I</m:t>
                  </m:r>
                </m:e>
                <m:sub>
                  <m:r>
                    <m:rPr>
                      <m:sty m:val="p"/>
                    </m:rPr>
                    <m:t>p</m:t>
                  </m:r>
                </m:sub>
              </m:sSub>
            </m:sub>
          </m:sSub>
          <m:r>
            <m:rPr>
              <m:sty m:val="p"/>
            </m:rPr>
            <m:t>{</m:t>
          </m:r>
          <m:sSub>
            <m:e>
              <m:r>
                <m:rPr>
                  <m:sty m:val="p"/>
                </m:rPr>
                <m:t>α</m:t>
              </m:r>
            </m:e>
            <m:sub>
              <m:r>
                <m:rPr>
                  <m:sty m:val="p"/>
                </m:rPr>
                <m:t>i</m:t>
              </m:r>
              <m:r>
                <m:rPr>
                  <m:sty m:val="p"/>
                </m:rPr>
                <m:t>h</m:t>
              </m:r>
              <m:r>
                <m:rPr>
                  <m:sty m:val="p"/>
                </m:rPr>
                <m:t>(</m:t>
              </m:r>
              <m:r>
                <m:rPr>
                  <m:sty m:val="p"/>
                </m:rPr>
                <m:t>i</m:t>
              </m:r>
              <m:r>
                <m:rPr>
                  <m:sty m:val="p"/>
                </m:rPr>
                <m:t>)</m:t>
              </m:r>
            </m:sub>
          </m:sSub>
          <m:r>
            <m:rPr>
              <m:sty m:val="p"/>
            </m:rPr>
            <m:t>−</m:t>
          </m:r>
          <m:sSub>
            <m:e>
              <m:r>
                <m:rPr>
                  <m:sty m:val="p"/>
                </m:rPr>
                <m:t>l</m:t>
              </m:r>
            </m:e>
            <m:sub>
              <m:r>
                <m:rPr>
                  <m:sty m:val="p"/>
                </m:rPr>
                <m:t>p</m:t>
              </m:r>
              <m:r>
                <m:rPr>
                  <m:sty m:val="p"/>
                </m:rPr>
                <m:t>i</m:t>
              </m:r>
            </m:sub>
          </m:sSub>
          <m:r>
            <m:rPr>
              <m:sty m:val="p"/>
            </m:rPr>
            <m:t>}</m:t>
          </m:r>
        </m:oMath>
      </m:oMathPara>
      <w:r>
        <w:rPr>
          <w:rFonts w:ascii="Cambria Math" w:hAnsi="Cambria Math" w:eastAsia="Cambria Math"/>
          <w:b w:val="0"/>
          <w:sz w:val="24"/>
        </w:rPr>
        <w:t xml:space="preserve">    (7)</w:t>
      </w:r>
    </w:p>
    <w:p>
      <w:pPr>
        <w:spacing w:line="360" w:lineRule="auto"/>
        <w:ind w:firstLine="420"/>
      </w:pPr>
      <w:r>
        <w:rPr>
          <w:rFonts w:ascii="宋体" w:hAnsi="宋体" w:eastAsia="宋体"/>
          <w:b w:val="0"/>
          <w:sz w:val="24"/>
        </w:rPr>
        <w:t>式（7）：L_p为所选访问顺序与窗口组合的起飞下界；α_ih为船舶i的第h个窗口开始，l_pi为起飞至该船交接开始的偏移。多艘船的下界取最大值。</w:t>
      </w:r>
    </w:p>
    <w:p>
      <w:pPr>
        <w:spacing w:before="120" w:after="120"/>
        <w:jc w:val="center"/>
      </w:pPr>
      <m:oMathPara>
        <m:oMath>
          <m:sSub>
            <m:e>
              <m:r>
                <m:rPr>
                  <m:sty m:val="p"/>
                </m:rPr>
                <m:t>U</m:t>
              </m:r>
            </m:e>
            <m:sub>
              <m:r>
                <m:rPr>
                  <m:sty m:val="p"/>
                </m:rPr>
                <m:t>p</m:t>
              </m:r>
            </m:sub>
          </m:sSub>
          <m:r>
            <m:rPr>
              <m:sty m:val="p"/>
            </m:rPr>
            <m:t>=</m:t>
          </m:r>
          <m:r>
            <m:rPr>
              <m:sty m:val="p"/>
            </m:rPr>
            <m:t>min</m:t>
          </m:r>
          <m:r>
            <m:rPr>
              <m:sty m:val="p"/>
            </m:rPr>
            <m:t>{</m:t>
          </m:r>
          <m:sSub>
            <m:e>
              <m:r>
                <m:rPr>
                  <m:sty m:val="p"/>
                </m:rPr>
                <m:t>min</m:t>
              </m:r>
            </m:e>
            <m:sub>
              <m:r>
                <m:rPr>
                  <m:sty m:val="p"/>
                </m:rPr>
                <m:t>i</m:t>
              </m:r>
              <m:r>
                <m:rPr>
                  <m:sty m:val="p"/>
                </m:rPr>
                <m:t>∈</m:t>
              </m:r>
              <m:sSub>
                <m:e>
                  <m:r>
                    <m:rPr>
                      <m:sty m:val="p"/>
                    </m:rPr>
                    <m:t>I</m:t>
                  </m:r>
                </m:e>
                <m:sub>
                  <m:r>
                    <m:rPr>
                      <m:sty m:val="p"/>
                    </m:rPr>
                    <m:t>p</m:t>
                  </m:r>
                </m:sub>
              </m:sSub>
            </m:sub>
          </m:sSub>
          <m:r>
            <m:rPr>
              <m:sty m:val="p"/>
            </m:rPr>
            <m:t>(</m:t>
          </m:r>
          <m:sSub>
            <m:e>
              <m:r>
                <m:rPr>
                  <m:sty m:val="p"/>
                </m:rPr>
                <m:t>β</m:t>
              </m:r>
            </m:e>
            <m:sub>
              <m:r>
                <m:rPr>
                  <m:sty m:val="p"/>
                </m:rPr>
                <m:t>i</m:t>
              </m:r>
              <m:r>
                <m:rPr>
                  <m:sty m:val="p"/>
                </m:rPr>
                <m:t>h</m:t>
              </m:r>
              <m:r>
                <m:rPr>
                  <m:sty m:val="p"/>
                </m:rPr>
                <m:t>(</m:t>
              </m:r>
              <m:r>
                <m:rPr>
                  <m:sty m:val="p"/>
                </m:rPr>
                <m:t>i</m:t>
              </m:r>
              <m:r>
                <m:rPr>
                  <m:sty m:val="p"/>
                </m:rPr>
                <m:t>)</m:t>
              </m:r>
            </m:sub>
          </m:sSub>
          <m:r>
            <m:rPr>
              <m:sty m:val="p"/>
            </m:rPr>
            <m:t>−</m:t>
          </m:r>
          <m:sSub>
            <m:e>
              <m:r>
                <m:rPr>
                  <m:sty m:val="p"/>
                </m:rPr>
                <m:t>e</m:t>
              </m:r>
            </m:e>
            <m:sub>
              <m:r>
                <m:rPr>
                  <m:sty m:val="p"/>
                </m:rPr>
                <m:t>p</m:t>
              </m:r>
              <m:r>
                <m:rPr>
                  <m:sty m:val="p"/>
                </m:rPr>
                <m:t>i</m:t>
              </m:r>
            </m:sub>
          </m:sSub>
          <m:r>
            <m:rPr>
              <m:sty m:val="p"/>
            </m:rPr>
            <m:t>)</m:t>
          </m:r>
          <m:r>
            <m:rPr>
              <m:sty m:val="p"/>
            </m:rPr>
            <m:t>,</m:t>
          </m:r>
          <m:sSub>
            <m:e>
              <m:r>
                <m:rPr>
                  <m:sty m:val="p"/>
                </m:rPr>
                <m:t>min</m:t>
              </m:r>
            </m:e>
            <m:sub>
              <m:r>
                <m:rPr>
                  <m:sty m:val="p"/>
                </m:rPr>
                <m:t>k</m:t>
              </m:r>
              <m:r>
                <m:rPr>
                  <m:sty m:val="p"/>
                </m:rPr>
                <m:t>∈</m:t>
              </m:r>
              <m:sSub>
                <m:e>
                  <m:r>
                    <m:rPr>
                      <m:sty m:val="p"/>
                    </m:rPr>
                    <m:t>K</m:t>
                  </m:r>
                </m:e>
                <m:sub>
                  <m:r>
                    <m:rPr>
                      <m:sty m:val="p"/>
                    </m:rPr>
                    <m:t>p</m:t>
                  </m:r>
                </m:sub>
              </m:sSub>
            </m:sub>
          </m:sSub>
          <m:r>
            <m:rPr>
              <m:sty m:val="p"/>
            </m:rPr>
            <m:t>(</m:t>
          </m:r>
          <m:sSub>
            <m:e>
              <m:r>
                <m:rPr>
                  <m:sty m:val="p"/>
                </m:rPr>
                <m:t>D</m:t>
              </m:r>
            </m:e>
            <m:sub>
              <m:r>
                <m:rPr>
                  <m:sty m:val="p"/>
                </m:rPr>
                <m:t>k</m:t>
              </m:r>
            </m:sub>
          </m:sSub>
          <m:r>
            <m:rPr>
              <m:sty m:val="p"/>
            </m:rPr>
            <m:t>−</m:t>
          </m:r>
          <m:sSub>
            <m:e>
              <m:r>
                <m:rPr>
                  <m:sty m:val="p"/>
                </m:rPr>
                <m:t>e</m:t>
              </m:r>
            </m:e>
            <m:sub>
              <m:r>
                <m:rPr>
                  <m:sty m:val="p"/>
                </m:rPr>
                <m:t>p</m:t>
              </m:r>
              <m:r>
                <m:rPr>
                  <m:sty m:val="p"/>
                </m:rPr>
                <m:t>,</m:t>
              </m:r>
              <m:r>
                <m:rPr>
                  <m:sty m:val="p"/>
                </m:rPr>
                <m:t>i</m:t>
              </m:r>
              <m:r>
                <m:rPr>
                  <m:sty m:val="p"/>
                </m:rPr>
                <m:t>(</m:t>
              </m:r>
              <m:r>
                <m:rPr>
                  <m:sty m:val="p"/>
                </m:rPr>
                <m:t>k</m:t>
              </m:r>
              <m:r>
                <m:rPr>
                  <m:sty m:val="p"/>
                </m:rPr>
                <m:t>)</m:t>
              </m:r>
            </m:sub>
          </m:sSub>
          <m:r>
            <m:rPr>
              <m:sty m:val="p"/>
            </m:rPr>
            <m:t>)</m:t>
          </m:r>
          <m:r>
            <m:rPr>
              <m:sty m:val="p"/>
            </m:rPr>
            <m:t>}</m:t>
          </m:r>
        </m:oMath>
      </m:oMathPara>
      <w:r>
        <w:rPr>
          <w:rFonts w:ascii="Cambria Math" w:hAnsi="Cambria Math" w:eastAsia="Cambria Math"/>
          <w:b w:val="0"/>
          <w:sz w:val="24"/>
        </w:rPr>
        <w:t xml:space="preserve">    (8)</w:t>
      </w:r>
    </w:p>
    <w:p>
      <w:pPr>
        <w:spacing w:line="360" w:lineRule="auto"/>
        <w:ind w:firstLine="420"/>
      </w:pPr>
      <w:r>
        <w:rPr>
          <w:rFonts w:ascii="宋体" w:hAnsi="宋体" w:eastAsia="宋体"/>
          <w:b w:val="0"/>
          <w:sz w:val="24"/>
        </w:rPr>
        <w:t>式（8）：U_p为起飞上界；β_ih为选定窗口结束，e_pi为交接完成偏移，D_k为货箱硬截止。先对窗口组合求交集；有多个有效组合时保留区间并集，不能填平空隙。窗口区间非空后还须检查式（9）的就绪下界。</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L</m:t>
              </m:r>
            </m:e>
            <m:sub>
              <m:r>
                <m:rPr>
                  <m:sty m:val="p"/>
                </m:rPr>
                <m:t>p</m:t>
              </m:r>
            </m:sub>
          </m:sSub>
          <m:r>
            <m:rPr>
              <m:sty m:val="p"/>
            </m:rPr>
            <m:t>,</m:t>
          </m:r>
          <m:r>
            <m:rPr>
              <m:sty m:val="p"/>
            </m:rPr>
            <m:t>max</m:t>
          </m:r>
          <m:r>
            <m:rPr>
              <m:sty m:val="p"/>
            </m:rPr>
            <m:t>(</m:t>
          </m:r>
          <m:sSub>
            <m:e>
              <m:r>
                <m:rPr>
                  <m:sty m:val="p"/>
                </m:rPr>
                <m:t>t</m:t>
              </m:r>
            </m:e>
            <m:sub>
              <m:r>
                <m:rPr>
                  <m:sty m:val="p"/>
                </m:rPr>
                <m:t>0</m:t>
              </m:r>
            </m:sub>
          </m:sSub>
          <m:r>
            <m:rPr>
              <m:sty m:val="p"/>
            </m:rPr>
            <m:t>,</m:t>
          </m:r>
          <m:sSub>
            <m:e>
              <m:r>
                <m:rPr>
                  <m:sty m:val="p"/>
                </m:rPr>
                <m:t>A</m:t>
              </m:r>
            </m:e>
            <m:sub>
              <m:r>
                <m:rPr>
                  <m:sty m:val="p"/>
                </m:rPr>
                <m:t>u</m:t>
              </m:r>
            </m:sub>
          </m:sSub>
          <m:r>
            <m:rPr>
              <m:sty m:val="p"/>
            </m:rPr>
            <m:t>,</m:t>
          </m:r>
          <m:sSub>
            <m:e>
              <m:r>
                <m:rPr>
                  <m:sty m:val="p"/>
                </m:rPr>
                <m:t>A</m:t>
              </m:r>
            </m:e>
            <m:sub>
              <m:r>
                <m:rPr>
                  <m:sty m:val="p"/>
                </m:rPr>
                <m:t>b</m:t>
              </m:r>
            </m:sub>
          </m:sSub>
          <m:r>
            <m:rPr>
              <m:sty m:val="p"/>
            </m:rPr>
            <m:t>,</m:t>
          </m:r>
          <m:sSub>
            <m:e>
              <m:r>
                <m:rPr>
                  <m:sty m:val="p"/>
                </m:rPr>
                <m:t>r</m:t>
              </m:r>
            </m:e>
            <m:sub>
              <m:r>
                <m:rPr>
                  <m:sty m:val="p"/>
                </m:rPr>
                <m:t>p</m:t>
              </m:r>
            </m:sub>
          </m:sSub>
          <m:r>
            <m:rPr>
              <m:sty m:val="p"/>
            </m:rPr>
            <m:t>)</m:t>
          </m:r>
          <m:r>
            <m:rPr>
              <m:sty m:val="p"/>
            </m:rPr>
            <m:t>+</m:t>
          </m:r>
          <m:sSub>
            <m:e>
              <m:r>
                <m:rPr>
                  <m:sty m:val="p"/>
                </m:rPr>
                <m:t>τ</m:t>
              </m:r>
            </m:e>
            <m:sub>
              <m:r>
                <m:rPr>
                  <m:sty m:val="p"/>
                </m:rPr>
                <m:t>p</m:t>
              </m:r>
              <m:r>
                <m:rPr>
                  <m:sty m:val="p"/>
                </m:rPr>
                <m:t>r</m:t>
              </m:r>
              <m:r>
                <m:rPr>
                  <m:sty m:val="p"/>
                </m:rPr>
                <m:t>e</m:t>
              </m:r>
            </m:sub>
          </m:sSub>
          <m:r>
            <m:rPr>
              <m:sty m:val="p"/>
            </m:rPr>
            <m:t>}</m:t>
          </m:r>
          <m:r>
            <m:rPr>
              <m:sty m:val="p"/>
            </m:rPr>
            <m:t>,</m:t>
          </m:r>
          <m:r>
            <m:rPr>
              <m:sty m:val="p"/>
            </m:rPr>
            <m:t> </m:t>
          </m:r>
          <m:sSub>
            <m:e>
              <m:r>
                <m:rPr>
                  <m:sty m:val="p"/>
                </m:rPr>
                <m:t>s</m:t>
              </m:r>
            </m:e>
            <m:sub>
              <m:r>
                <m:rPr>
                  <m:sty m:val="p"/>
                </m:rPr>
                <m:t>p</m:t>
              </m:r>
            </m:sub>
          </m:sSub>
          <m:r>
            <m:rPr>
              <m:sty m:val="p"/>
            </m:rPr>
            <m:t>≤</m:t>
          </m:r>
          <m:sSub>
            <m:e>
              <m:r>
                <m:rPr>
                  <m:sty m:val="p"/>
                </m:rPr>
                <m:t>U</m:t>
              </m:r>
            </m:e>
            <m:sub>
              <m:r>
                <m:rPr>
                  <m:sty m:val="p"/>
                </m:rPr>
                <m:t>p</m:t>
              </m:r>
            </m:sub>
          </m:sSub>
        </m:oMath>
      </m:oMathPara>
      <w:r>
        <w:rPr>
          <w:rFonts w:ascii="Cambria Math" w:hAnsi="Cambria Math" w:eastAsia="Cambria Math"/>
          <w:b w:val="0"/>
          <w:sz w:val="24"/>
        </w:rPr>
        <w:t xml:space="preserve">    (9)</w:t>
      </w:r>
    </w:p>
    <w:p>
      <w:pPr>
        <w:spacing w:line="360" w:lineRule="auto"/>
        <w:ind w:firstLine="420"/>
      </w:pPr>
      <w:r>
        <w:rPr>
          <w:rFonts w:ascii="宋体" w:hAnsi="宋体" w:eastAsia="宋体"/>
          <w:b w:val="0"/>
          <w:sz w:val="24"/>
        </w:rPr>
        <w:t>式（9）：s_p为起飞时刻；t_0为允许开始准备的批次基准，A_u为机体可用、A_b为满电电池可用、r_p为本架次最晚备货时刻，τ_pre为准备时长。所有资源与货箱就绪后才能开始准备，不能把机体空闲等同于电池就绪。</w:t>
      </w:r>
    </w:p>
    <w:p>
      <w:pPr>
        <w:spacing w:before="120" w:after="120"/>
        <w:jc w:val="center"/>
      </w:pPr>
      <m:oMathPara>
        <m:oMath>
          <m:sSubSup>
            <m:e>
              <m:r>
                <m:rPr>
                  <m:sty m:val="p"/>
                </m:rPr>
                <m:t>t</m:t>
              </m:r>
            </m:e>
            <m:sub>
              <m:r>
                <m:rPr>
                  <m:sty m:val="p"/>
                </m:rPr>
                <m:t>b</m:t>
              </m:r>
              <m:r>
                <m:rPr>
                  <m:sty m:val="p"/>
                </m:rPr>
                <m:t>c</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r>
                <m:rPr>
                  <m:sty m:val="p"/>
                </m:rPr>
                <m:t>c</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(10)</w:t>
      </w:r>
    </w:p>
    <w:p>
      <w:pPr>
        <w:spacing w:line="360" w:lineRule="auto"/>
        <w:ind w:firstLine="420"/>
      </w:pPr>
      <w:r>
        <w:rPr>
          <w:rFonts w:ascii="宋体" w:hAnsi="宋体" w:eastAsia="宋体"/>
          <w:b w:val="0"/>
          <w:sz w:val="24"/>
        </w:rPr>
        <w:t>式（10）：t_bc^chg为电池b在工位c上充至满电所需时长，T_bc^full为相应完全充电时长s，σ为预计返航SOC。该两阶段曲线是优选示例，可由经校准的对应电池—工位曲线替代；替代后仍须重排。</w:t>
      </w:r>
    </w:p>
    <w:p>
      <w:pPr>
        <w:spacing w:before="120" w:after="120"/>
        <w:jc w:val="center"/>
      </w:pPr>
      <m:oMathPara>
        <m:oMath>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r>
            <m:rPr>
              <m:sty m:val="p"/>
            </m:rPr>
            <m:t>max</m:t>
          </m:r>
          <m:r>
            <m:rPr>
              <m:sty m:val="p"/>
            </m:rPr>
            <m:t>{</m:t>
          </m:r>
          <m:sSub>
            <m:e>
              <m:r>
                <m:rPr>
                  <m:sty m:val="p"/>
                </m:rPr>
                <m:t>f</m:t>
              </m:r>
            </m:e>
            <m:sub>
              <m:r>
                <m:rPr>
                  <m:sty m:val="p"/>
                </m:rPr>
                <m:t>p</m:t>
              </m:r>
            </m:sub>
          </m:sSub>
          <m:r>
            <m:rPr>
              <m:sty m:val="p"/>
            </m:rPr>
            <m:t>+</m:t>
          </m:r>
          <m:sSub>
            <m:e>
              <m:r>
                <m:rPr>
                  <m:sty m:val="p"/>
                </m:rPr>
                <m:t>δ</m:t>
              </m:r>
            </m:e>
            <m:sub>
              <m:r>
                <m:rPr>
                  <m:sty m:val="p"/>
                </m:rPr>
                <m:t>b</m:t>
              </m:r>
            </m:sub>
          </m:sSub>
          <m:r>
            <m:rPr>
              <m:sty m:val="p"/>
            </m:rPr>
            <m:t>,</m:t>
          </m:r>
          <m:sSub>
            <m:e>
              <m:r>
                <m:rPr>
                  <m:sty m:val="p"/>
                </m:rPr>
                <m:t>A</m:t>
              </m:r>
            </m:e>
            <m:sub>
              <m:r>
                <m:rPr>
                  <m:sty m:val="p"/>
                </m:rPr>
                <m:t>c</m:t>
              </m:r>
            </m:sub>
          </m:sSub>
          <m:r>
            <m:rPr>
              <m:sty m:val="p"/>
            </m:rPr>
            <m:t>}</m:t>
          </m:r>
        </m:oMath>
      </m:oMathPara>
      <w:r>
        <w:rPr>
          <w:rFonts w:ascii="Cambria Math" w:hAnsi="Cambria Math" w:eastAsia="Cambria Math"/>
          <w:b w:val="0"/>
          <w:sz w:val="24"/>
        </w:rPr>
        <w:t xml:space="preserve">    (11)</w:t>
      </w:r>
    </w:p>
    <w:p>
      <w:pPr>
        <w:spacing w:line="360" w:lineRule="auto"/>
        <w:ind w:firstLine="420"/>
      </w:pPr>
      <w:r>
        <w:rPr>
          <w:rFonts w:ascii="宋体" w:hAnsi="宋体" w:eastAsia="宋体"/>
          <w:b w:val="0"/>
          <w:sz w:val="24"/>
        </w:rPr>
        <w:t>式（11）：C_pb^start为充电开始时刻，f_p为返航时刻，δ_b为拆卸冷却时长，A_c为同一实体兼容工位下一可用时刻。该最大值关系引入有限工位排队，不以返航时刻直接认定电池能够开始补电。</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Sup>
            <m:e>
              <m:r>
                <m:rPr>
                  <m:sty m:val="p"/>
                </m:rPr>
                <m:t>C</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sSubSup>
            <m:e>
              <m:r>
                <m:rPr>
                  <m:sty m:val="p"/>
                </m:rPr>
                <m:t>t</m:t>
              </m:r>
            </m:e>
            <m:sub>
              <m:r>
                <m:rPr>
                  <m:sty m:val="p"/>
                </m:rPr>
                <m:t>b</m:t>
              </m:r>
              <m:r>
                <m:rPr>
                  <m:sty m:val="p"/>
                </m:rPr>
                <m:t>c</m:t>
              </m:r>
            </m:sub>
            <m:sup>
              <m:r>
                <m:rPr>
                  <m:sty m:val="p"/>
                </m:rPr>
                <m:t>c</m:t>
              </m:r>
              <m:r>
                <m:rPr>
                  <m:sty m:val="p"/>
                </m:rPr>
                <m:t>h</m:t>
              </m:r>
              <m:r>
                <m:rPr>
                  <m:sty m:val="p"/>
                </m:rPr>
                <m:t>g</m:t>
              </m:r>
            </m:sup>
          </m:sSubSup>
          <m:r>
            <m:rPr>
              <m:sty m:val="p"/>
            </m:rPr>
            <m:t>(</m:t>
          </m:r>
          <m:sSub>
            <m:e>
              <m:r>
                <m:rPr>
                  <m:sty m:val="p"/>
                </m:rPr>
                <m:t>σ</m:t>
              </m:r>
            </m:e>
            <m:sub>
              <m:r>
                <m:rPr>
                  <m:sty m:val="p"/>
                </m:rPr>
                <m:t>p</m:t>
              </m:r>
              <m:r>
                <m:rPr>
                  <m:sty m:val="p"/>
                </m:rPr>
                <m:t>b</m:t>
              </m:r>
            </m:sub>
          </m:sSub>
          <m:r>
            <m:rPr>
              <m:sty m:val="p"/>
            </m:rPr>
            <m:t>)</m:t>
          </m:r>
        </m:oMath>
      </m:oMathPara>
      <w:r>
        <w:rPr>
          <w:rFonts w:ascii="Cambria Math" w:hAnsi="Cambria Math" w:eastAsia="Cambria Math"/>
          <w:b w:val="0"/>
          <w:sz w:val="24"/>
        </w:rPr>
        <w:t xml:space="preserve">    (12)</w:t>
      </w:r>
    </w:p>
    <w:p>
      <w:pPr>
        <w:spacing w:line="360" w:lineRule="auto"/>
        <w:ind w:firstLine="420"/>
      </w:pPr>
      <w:r>
        <w:rPr>
          <w:rFonts w:ascii="宋体" w:hAnsi="宋体" w:eastAsia="宋体"/>
          <w:b w:val="0"/>
          <w:sz w:val="24"/>
        </w:rPr>
        <w:t>式（12）：C_pb^end为补电结束时刻；更新A_b和A_c为该时刻，将A_b用于后续式（9）。无需补电时不占用工位，电池仍在完成既定拆卸冷却后释放。</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(13)</w:t>
      </w:r>
    </w:p>
    <w:p>
      <w:pPr>
        <w:spacing w:line="360" w:lineRule="auto"/>
        <w:ind w:firstLine="420"/>
      </w:pPr>
      <w:r>
        <w:rPr>
          <w:rFonts w:ascii="宋体" w:hAnsi="宋体" w:eastAsia="宋体"/>
          <w:b w:val="0"/>
          <w:sz w:val="24"/>
        </w:rPr>
        <w:t>式（13）：J(X)为方案评价向量；W为对超过期望交付时刻的加权迟到，M为最晚返航时刻，E为运输总能耗，N为架次数。先用硬约束决定是否可执行，再以该向量比较可行方案。该评价选择是优选实现，未作为独立项固定算法要求。</w:t>
      </w:r>
    </w:p>
    <w:p>
      <w:pPr>
        <w:keepNext/>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4541832" cy="6840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541832" cy="6840000"/>
                    </a:xfrm>
                    <a:prstGeom prst="rect"/>
                  </pic:spPr>
                </pic:pic>
              </a:graphicData>
            </a:graphic>
          </wp:inline>
        </w:drawing>
      </w:r>
    </w:p>
    <w:p>
      <w:pPr>
        <w:jc w:val="center"/>
      </w:pPr>
      <w:r>
        <w:rPr>
          <w:rFonts w:ascii="宋体" w:hAnsi="宋体" w:eastAsia="宋体"/>
          <w:b w:val="0"/>
          <w:sz w:val="22"/>
        </w:rPr>
        <w:t>图1 任务调整与周转同步重排流程</w:t>
      </w:r>
    </w:p>
    <w:p>
      <w:pPr>
        <w:jc w:val="center"/>
      </w:pPr>
      <w:r>
        <w:drawing>
          <wp:inline xmlns:a="http://schemas.openxmlformats.org/drawingml/2006/main" xmlns:pic="http://schemas.openxmlformats.org/drawingml/2006/picture">
            <wp:extent cx="3737704" cy="6840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737704" cy="6840000"/>
                    </a:xfrm>
                    <a:prstGeom prst="rect"/>
                  </pic:spPr>
                </pic:pic>
              </a:graphicData>
            </a:graphic>
          </wp:inline>
        </w:drawing>
      </w:r>
    </w:p>
    <w:p>
      <w:pPr>
        <w:jc w:val="center"/>
      </w:pPr>
      <w:r>
        <w:rPr>
          <w:rFonts w:ascii="宋体" w:hAnsi="宋体" w:eastAsia="宋体"/>
          <w:b w:val="0"/>
          <w:sz w:val="22"/>
        </w:rPr>
        <w:t>图2 初始构造与候选调整共用的排程过程</w:t>
      </w:r>
    </w:p>
    <w:p>
      <w:pPr>
        <w:jc w:val="center"/>
      </w:pPr>
      <w:r>
        <w:drawing>
          <wp:inline xmlns:a="http://schemas.openxmlformats.org/drawingml/2006/main" xmlns:pic="http://schemas.openxmlformats.org/drawingml/2006/picture">
            <wp:extent cx="3779005" cy="684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3779005" cy="6840000"/>
                    </a:xfrm>
                    <a:prstGeom prst="rect"/>
                  </pic:spPr>
                </pic:pic>
              </a:graphicData>
            </a:graphic>
          </wp:inline>
        </w:drawing>
      </w:r>
    </w:p>
    <w:p>
      <w:pPr>
        <w:jc w:val="center"/>
      </w:pPr>
      <w:r>
        <w:rPr>
          <w:rFonts w:ascii="宋体" w:hAnsi="宋体" w:eastAsia="宋体"/>
          <w:b w:val="0"/>
          <w:sz w:val="22"/>
        </w:rPr>
        <w:t>图3 访问变化对后续交付的依赖关系</w:t>
      </w:r>
    </w:p>
    <w:p>
      <w:pPr>
        <w:keepNext/>
        <w:jc w:val="left"/>
      </w:pPr>
      <w:r>
        <w:rPr>
          <w:rFonts w:ascii="宋体" w:hAnsi="宋体" w:eastAsia="宋体"/>
          <w:b/>
          <w:sz w:val="28"/>
        </w:rPr>
        <w:t>具体实施方式</w:t>
      </w:r>
    </w:p>
    <w:p>
      <w:pPr>
        <w:keepNext/>
        <w:jc w:val="left"/>
      </w:pPr>
      <w:r>
        <w:rPr>
          <w:rFonts w:ascii="宋体" w:hAnsi="宋体" w:eastAsia="宋体"/>
          <w:b/>
          <w:sz w:val="28"/>
        </w:rPr>
        <w:t>实施例一：共用同步资源排程过程与四主步骤</w:t>
      </w:r>
    </w:p>
    <w:p>
      <w:pPr>
        <w:spacing w:line="360" w:lineRule="auto"/>
        <w:ind w:firstLine="420"/>
      </w:pPr>
      <w:r>
        <w:rPr>
          <w:rFonts w:ascii="宋体" w:hAnsi="宋体" w:eastAsia="宋体"/>
          <w:b w:val="0"/>
          <w:sz w:val="24"/>
        </w:rPr>
        <w:t>本实施方式以岸基配送站O为起止节点，在一个配送批次内使用经确认的锚泊船舶接收点、可飞航段和接收窗口。货箱整箱承运且唯一交付，同型或经设备配置确认兼容的电池可在相容机体间周转。本文“可执行”指在给定任务、模型与状态快照下通过交付、电量和占用约束检查，不代表已经完成实飞。</w:t>
      </w:r>
    </w:p>
    <w:p>
      <w:pPr>
        <w:spacing w:line="360" w:lineRule="auto"/>
        <w:ind w:firstLine="420"/>
      </w:pPr>
      <w:r>
        <w:rPr>
          <w:rFonts w:ascii="宋体" w:hAnsi="宋体" w:eastAsia="宋体"/>
          <w:b w:val="0"/>
          <w:sz w:val="24"/>
        </w:rPr>
        <w:t>S1：获取数据并建立关系。货箱包含编号、目的船舶、质量、体积、备货完成、期望交付、权重和硬截止；船舶包含接收坐标、作业高度、交接时长和一个或多个窗口。机体包含编号、机型、能力及可用时刻；电池包含编号、有效能量、荷电状态及可用时刻；工位包含实体编号、兼容类型、充电参数及可用时刻。所有时刻使用同一基准。初始未满电电池先由已有充电安排确定满电可用时刻，不把返航或入库时刻当作满电时刻。</w:t>
      </w:r>
    </w:p>
    <w:p>
      <w:pPr>
        <w:spacing w:line="360" w:lineRule="auto"/>
        <w:ind w:firstLine="420"/>
      </w:pPr>
      <w:r>
        <w:rPr>
          <w:rFonts w:ascii="宋体" w:hAnsi="宋体" w:eastAsia="宋体"/>
          <w:b w:val="0"/>
          <w:sz w:val="24"/>
        </w:rPr>
        <w:t>保存候选比較用的资源快照，每个候选及每种优先顺序使用独立副本。已占用的机体、电池和工位依输入可用时刻继续约束本批次；本例采用资源预约尾部追加，不插入既有预约之间的空隙。快照是当前批次的共同输入，不是允许每次计算把实际已执行占用清零。</w:t>
      </w:r>
    </w:p>
    <w:p>
      <w:pPr>
        <w:spacing w:line="360" w:lineRule="auto"/>
        <w:ind w:firstLine="420"/>
      </w:pPr>
      <w:r>
        <w:rPr>
          <w:rFonts w:ascii="宋体" w:hAnsi="宋体" w:eastAsia="宋体"/>
          <w:b w:val="0"/>
          <w:sz w:val="24"/>
        </w:rPr>
        <w:t>S2：构造初始配送架次。根据货箱目的地和时限形成单船或多船组合，枚举相容机型和访问顺序，并调用下述共用过程R。初始方案与调整后候选采用相同物理及资源约束，不另设可以忽略电池或工位的“路线可行”标准。未得到通过检查的完整初始方案时输出冲突信息，不输出局部已排架次作为完整可执行方案。</w:t>
      </w:r>
    </w:p>
    <w:p>
      <w:pPr>
        <w:spacing w:line="360" w:lineRule="auto"/>
        <w:ind w:firstLine="420"/>
      </w:pPr>
      <w:r>
        <w:rPr>
          <w:rFonts w:ascii="宋体" w:hAnsi="宋体" w:eastAsia="宋体"/>
          <w:b w:val="0"/>
          <w:sz w:val="24"/>
        </w:rPr>
        <w:t>共用过程R1：对候选全部架次重新计算。访问顺序改变后，按式（1）卸载并更新载荷，按式（2）至（6）复算航时、任务能耗及预计返航SOC。同一机型相容电池使用与能耗模型一致的容量和标定；更改容量或机型后不沿用原航程和能耗。交接开始偏移是此前各航段与交接时长之和，交接完成偏移再加本船交接时长，最后返航也计入任务持续时间。 本例同机型兼容电池采用相同有效能量；若兼容电池配置的容量或标定不同，则分别生成与该配置匹配的物理计算结果，R2只绑定到所匹配配置的实体电池，不用一份能耗/荷电预测覆盖不相容配置。</w:t>
      </w:r>
    </w:p>
    <w:p>
      <w:pPr>
        <w:spacing w:line="360" w:lineRule="auto"/>
        <w:ind w:firstLine="420"/>
      </w:pPr>
      <w:r>
        <w:rPr>
          <w:rFonts w:ascii="宋体" w:hAnsi="宋体" w:eastAsia="宋体"/>
          <w:b w:val="0"/>
          <w:sz w:val="24"/>
        </w:rPr>
        <w:t>将所选窗口组合分别代入式（7）（8）。交接开始和结束必须位于同一窗口。多窗口保留每个组合的非空区间，并与硬截止上界求交；不能用最早窗口开始和最晚窗口结束构造覆盖中间空档的大区间。区间非空只表示这些窗口约束相容，仍需在R2检查实际就绪下界。岸基等待在式（9）中体现，不安排到船后等待窗口而遗漏相应悬停耗能。</w:t>
      </w:r>
    </w:p>
    <w:p>
      <w:pPr>
        <w:spacing w:line="360" w:lineRule="auto"/>
        <w:ind w:firstLine="420"/>
      </w:pPr>
      <w:r>
        <w:rPr>
          <w:rFonts w:ascii="宋体" w:hAnsi="宋体" w:eastAsia="宋体"/>
          <w:b w:val="0"/>
          <w:sz w:val="24"/>
        </w:rPr>
        <w:t>共用过程R2：按照选定架次排程顺序，在独立状态副本中逐架次枚举访问排列、窗口组合及相容机体、电池、工位。以式（9）确定具体起飞时刻，准备开始不能早于机体、电池和物资就绪。交接完成时刻为起飞加完成偏移，返航时刻为起飞加全部航段与交接时长。起飞超过所选区间上界的组合直接剔除，不通过减小准备或使用未充满电池修补。</w:t>
      </w:r>
    </w:p>
    <w:p>
      <w:pPr>
        <w:spacing w:line="360" w:lineRule="auto"/>
        <w:ind w:firstLine="420"/>
      </w:pPr>
      <w:r>
        <w:rPr>
          <w:rFonts w:ascii="宋体" w:hAnsi="宋体" w:eastAsia="宋体"/>
          <w:b w:val="0"/>
          <w:sz w:val="24"/>
        </w:rPr>
        <w:t>共用过程R3：对每个设备绑定预计算返航后预约。由预计SOC和电池—工位曲线计算补电时长，以式（11）的最大值确定充电开始。机体可用更新为返航加机体周转；电池可用与工位可用更新为式（12）的补电结束。工位只有一份物理时间轴，即使兼容A、B两类电池也不能分两份记录而发生重复预约。</w:t>
      </w:r>
    </w:p>
    <w:p>
      <w:pPr>
        <w:spacing w:line="360" w:lineRule="auto"/>
        <w:ind w:firstLine="420"/>
      </w:pPr>
      <w:r>
        <w:rPr>
          <w:rFonts w:ascii="宋体" w:hAnsi="宋体" w:eastAsia="宋体"/>
          <w:b w:val="0"/>
          <w:sz w:val="24"/>
        </w:rPr>
        <w:t>电池在飞行、等待工位及补电期间均作为占用资源；机体从准备至返航周转完成占用；工位只在实际补电区间占用。采用半开区间检查同一实体资源无重叠。无需补电的情况不新增工位预约，也不因工位占用无故延迟电池释放，但仍完成必要拆卸冷却。未被选中的机体—电池—工位组合保存在临时计算中，不写入当前时间轴；完整候选失败时丢弃该副本。</w:t>
      </w:r>
    </w:p>
    <w:p>
      <w:pPr>
        <w:spacing w:line="360" w:lineRule="auto"/>
        <w:ind w:firstLine="420"/>
      </w:pPr>
      <w:r>
        <w:rPr>
          <w:rFonts w:ascii="宋体" w:hAnsi="宋体" w:eastAsia="宋体"/>
          <w:b w:val="0"/>
          <w:sz w:val="24"/>
        </w:rPr>
        <w:t>共用过程R4：完成全部架次后检查货箱覆盖、整箱唯一交付、载质量及容积、窗口和硬截止、预计返航储备、设备兼容、库存和同一资源区间。通过后可按式（13）比较候选。可以分别采用期望时刻、硬截止和远距优先三种架次排程顺序，或采用其他有明确实现的顺序；三种顺序及词典序评价是优选实现，不替代前述同步重排机制。</w:t>
      </w:r>
    </w:p>
    <w:p>
      <w:pPr>
        <w:spacing w:line="360" w:lineRule="auto"/>
        <w:ind w:firstLine="420"/>
      </w:pPr>
      <w:r>
        <w:rPr>
          <w:rFonts w:ascii="宋体" w:hAnsi="宋体" w:eastAsia="宋体"/>
          <w:b w:val="0"/>
          <w:sz w:val="24"/>
        </w:rPr>
        <w:t>S3：调整配送任务并同步重排。合并、拆分、移动、交换、改变访问顺序或改派机型负责生成候选。每次变化都使旧能耗、旧电池释放及旧工位预约失效，故对全部待执行架次调用R；不只复核修改的那一架次，因为其充电变化还可能推迟后续任务。候选通过R的检查才取得可执行性；搜索接纳规则可另行设置，但不能接纳硬约束违约候选。</w:t>
      </w:r>
    </w:p>
    <w:p>
      <w:pPr>
        <w:spacing w:line="360" w:lineRule="auto"/>
        <w:ind w:firstLine="420"/>
      </w:pPr>
      <w:r>
        <w:rPr>
          <w:rFonts w:ascii="宋体" w:hAnsi="宋体" w:eastAsia="宋体"/>
          <w:b w:val="0"/>
          <w:sz w:val="24"/>
        </w:rPr>
        <w:t>可使用贪心构造或模拟退火生成和选择候选。若使用辅助标量控制退火状态，其权重与最终优先指标分开；可以保存已评价但未成为当前搜索状态的可行候选。搜索预算、种子、两阶段充电比例、每架次访问上限均为优选参数，不能从固定试验数字推断全局最优或其他任务必然可行。</w:t>
      </w:r>
    </w:p>
    <w:p>
      <w:pPr>
        <w:spacing w:line="360" w:lineRule="auto"/>
        <w:ind w:firstLine="420"/>
      </w:pPr>
      <w:r>
        <w:rPr>
          <w:rFonts w:ascii="宋体" w:hAnsi="宋体" w:eastAsia="宋体"/>
          <w:b w:val="0"/>
          <w:sz w:val="24"/>
        </w:rPr>
        <w:t>S4：独立复算并输出。复算程序从最终货箱集合、访问顺序、机型及设备编号恢复载荷、时间偏移、能耗、SOC、充电预约和占用区间，不使用求解器自称“可行”的标签替代检查。输出每架次的准备、起飞、交接和返航时刻、对应机体及电池编号、返航后拆卸及下次换装所用电池、工位及充电起止时刻。这里的指令是提供给执行终端确认的配送、换电及预约记录，不将其表述为已经直接验证飞控自动执行。</w:t>
      </w:r>
    </w:p>
    <w:p>
      <w:pPr>
        <w:spacing w:line="360" w:lineRule="auto"/>
        <w:ind w:firstLine="420"/>
      </w:pPr>
      <w:r>
        <w:rPr>
          <w:rFonts w:ascii="宋体" w:hAnsi="宋体" w:eastAsia="宋体"/>
          <w:b w:val="0"/>
          <w:sz w:val="24"/>
        </w:rPr>
        <w:t>批次输入窗口或资源状态失效时，应更新数据后重新评价尚未开始的方案；本稿不提供未披露的应急飞控或船舶动态预测算法。该限制与同步重排的给定输入模型相容。</w:t>
      </w:r>
    </w:p>
    <w:p>
      <w:pPr>
        <w:keepNext/>
        <w:jc w:val="left"/>
      </w:pPr>
      <w:r>
        <w:rPr>
          <w:rFonts w:ascii="宋体" w:hAnsi="宋体" w:eastAsia="宋体"/>
          <w:b/>
          <w:sz w:val="28"/>
        </w:rPr>
        <w:t>实施例二：人工参数下的基准完整安排</w:t>
      </w:r>
    </w:p>
    <w:p>
      <w:pPr>
        <w:spacing w:line="360" w:lineRule="auto"/>
        <w:ind w:firstLine="420"/>
      </w:pPr>
      <w:r>
        <w:rPr>
          <w:rFonts w:ascii="宋体" w:hAnsi="宋体" w:eastAsia="宋体"/>
          <w:b w:val="0"/>
          <w:sz w:val="24"/>
        </w:rPr>
        <w:t>以下采用人工设定的小规模计算例验证所述机制，与原论文山区实例及其结果分开。以开始准备为0 s基准，各货箱初始备妥、机体和电池初始可用且满电；第一批准备0至60 s，起飞60 s。准备及机体周转各60 s，电池拆卸冷却本例取0；改变冷却输入也须重新评价。</w:t>
      </w:r>
    </w:p>
    <w:p>
      <w:pPr>
        <w:spacing w:line="360" w:lineRule="auto"/>
        <w:ind w:firstLine="420"/>
      </w:pPr>
      <w:r>
        <w:rPr>
          <w:rFonts w:ascii="宋体" w:hAnsi="宋体" w:eastAsia="宋体"/>
          <w:b w:val="0"/>
          <w:sz w:val="24"/>
        </w:rPr>
        <w:t>船舶V1至V5分别位于(2000,0)、(4000,0)、(0,3000)、(1000,1000)、(−3000,0) m，对应唯一货箱K1至K5的质量分别8、6、10、5、12 kg，体积均0.010 m³。窗口分别为[60,460]、[60,760]、[60,410]、[60,1860]、[60,660] s；各货箱期望和硬截止均取对应窗口末端，权重1。</w:t>
      </w:r>
    </w:p>
    <w:p>
      <w:pPr>
        <w:spacing w:line="360" w:lineRule="auto"/>
        <w:ind w:firstLine="420"/>
      </w:pPr>
      <w:r>
        <w:rPr>
          <w:rFonts w:ascii="宋体" w:hAnsi="宋体" w:eastAsia="宋体"/>
          <w:b w:val="0"/>
          <w:sz w:val="24"/>
        </w:rPr>
        <w:t>基准设置A型机体2架、A型电池2组、A型工位1个；B型机体1架、电池1组、工位1个。A型参数为含电池空载70 kg、载质量25 kg、容积0.060 m³、巡航12 m/s、空/满载航程25000/20000 m、电池4.5 kWh、完全充电1800 s；B型对应65 kg、30 kg、0.073 m³、15 m/s、28000/16000 m、4.0 kWh、2400 s。</w:t>
      </w:r>
    </w:p>
    <w:p>
      <w:pPr>
        <w:spacing w:line="360" w:lineRule="auto"/>
        <w:ind w:firstLine="420"/>
      </w:pPr>
      <w:r>
        <w:rPr>
          <w:rFonts w:ascii="宋体" w:hAnsi="宋体" w:eastAsia="宋体"/>
          <w:b w:val="0"/>
          <w:sz w:val="24"/>
        </w:rPr>
        <w:t>两型爬升与下降均3 m/s，巡航高度60 m，岸基作业高度0 m，船舶作业高度20 m，交接时长60 s、交接功率4 kW，返航储备20%，爬升效率0.72，重力加速度9.81 m/s²。这些数据用于验证算法关系，尚不能作为某港口设备的实测参数。</w:t>
      </w:r>
    </w:p>
    <w:p>
      <w:pPr>
        <w:spacing w:line="360" w:lineRule="auto"/>
        <w:ind w:firstLine="420"/>
      </w:pPr>
      <w:r>
        <w:rPr>
          <w:rFonts w:ascii="宋体" w:hAnsi="宋体" w:eastAsia="宋体"/>
          <w:b w:val="0"/>
          <w:sz w:val="24"/>
        </w:rPr>
        <w:t>固定P1为A型O→V1→V2→O，P2为A型O→V3→O，P4为B型O→V5→O，P3为A型O→V4→O。按P2、P1、P4、P3顺序计算，得到总能耗4.471623 kWh、最晚返航1956.918 s和全部窗口满足的完整安排。本例采用资源编号处理完全并列，不把该并列规则作为保护主线。</w:t>
      </w:r>
    </w:p>
    <w:p>
      <w:pPr>
        <w:spacing w:line="360" w:lineRule="auto"/>
        <w:ind w:firstLine="420"/>
      </w:pPr>
      <w:r>
        <w:rPr>
          <w:rFonts w:ascii="宋体" w:hAnsi="宋体" w:eastAsia="宋体"/>
          <w:b w:val="0"/>
          <w:sz w:val="24"/>
        </w:rPr>
        <w:t>P2：A-U1/A-B1；起飞60.000 s，交接完成V3 403.333 s，返航686.667 s；A-C1充电[686.667,1534.549) s，排队0.000 s。</w:t>
      </w:r>
    </w:p>
    <w:p>
      <w:pPr>
        <w:spacing w:line="360" w:lineRule="auto"/>
        <w:ind w:firstLine="420"/>
      </w:pPr>
      <w:r>
        <w:rPr>
          <w:rFonts w:ascii="宋体" w:hAnsi="宋体" w:eastAsia="宋体"/>
          <w:b w:val="0"/>
          <w:sz w:val="24"/>
        </w:rPr>
        <w:t>P1：A-U2/A-B2；起飞60.000 s，交接完成V1 320.000；V2 573.333 s，返航940.000 s；A-C1充电[1534.549,2512.982) s，排队594.549 s。</w:t>
      </w:r>
    </w:p>
    <w:p>
      <w:pPr>
        <w:spacing w:line="360" w:lineRule="auto"/>
        <w:ind w:firstLine="420"/>
      </w:pPr>
      <w:r>
        <w:rPr>
          <w:rFonts w:ascii="宋体" w:hAnsi="宋体" w:eastAsia="宋体"/>
          <w:b w:val="0"/>
          <w:sz w:val="24"/>
        </w:rPr>
        <w:t>P4：B-U1/B-B1；起飞60.000 s，交接完成V5 353.333 s，返航586.667 s；B-C1充电[586.667,1688.076) s，排队0.000 s。</w:t>
      </w:r>
    </w:p>
    <w:p>
      <w:pPr>
        <w:spacing w:line="360" w:lineRule="auto"/>
        <w:ind w:firstLine="420"/>
      </w:pPr>
      <w:r>
        <w:rPr>
          <w:rFonts w:ascii="宋体" w:hAnsi="宋体" w:eastAsia="宋体"/>
          <w:b w:val="0"/>
          <w:sz w:val="24"/>
        </w:rPr>
        <w:t>P3：A-U1/A-B1；起飞1594.549 s，交接完成V4 1805.734 s，返航1956.918 s；A-C1充电[2512.982,3188.640) s，排队556.064 s。</w:t>
      </w:r>
    </w:p>
    <w:p>
      <w:pPr>
        <w:keepNext/>
        <w:jc w:val="left"/>
      </w:pPr>
      <w:r>
        <w:rPr>
          <w:rFonts w:ascii="宋体" w:hAnsi="宋体" w:eastAsia="宋体"/>
          <w:b/>
          <w:sz w:val="28"/>
        </w:rPr>
        <w:t>实施例三：访问顺序与船舶窗口</w:t>
      </w:r>
    </w:p>
    <w:p>
      <w:pPr>
        <w:spacing w:line="360" w:lineRule="auto"/>
        <w:ind w:firstLine="420"/>
      </w:pPr>
      <w:r>
        <w:rPr>
          <w:rFonts w:ascii="宋体" w:hAnsi="宋体" w:eastAsia="宋体"/>
          <w:b w:val="0"/>
          <w:sz w:val="24"/>
        </w:rPr>
        <w:t>机制一：仅将P1顺序改为O→V2→V1→O。总距离仍为8000 m，返航持续时间仍为880 s，但V1交接完成偏移为680 s；最早起飞60 s时，V1交接完成740 s，超过窗口终点460 s。</w:t>
      </w:r>
    </w:p>
    <w:p>
      <w:pPr>
        <w:spacing w:line="360" w:lineRule="auto"/>
        <w:ind w:firstLine="420"/>
      </w:pPr>
      <w:r>
        <w:rPr>
          <w:rFonts w:ascii="宋体" w:hAnsi="宋体" w:eastAsia="宋体"/>
          <w:b w:val="0"/>
          <w:sz w:val="24"/>
        </w:rPr>
        <w:t>该排列按窗口转换仍可能产生负时间非空区间，本例为[−306.667,−220.000] s；准备和资源就绪要求起飞不早于60 s，因此二者不相容。拒绝来自窗口与实际就绪的联合检查，而不能仅凭总距离相同或窗口交集非空接纳访问调整。</w:t>
      </w:r>
    </w:p>
    <w:p>
      <w:pPr>
        <w:keepNext/>
        <w:jc w:val="left"/>
      </w:pPr>
      <w:r>
        <w:rPr>
          <w:rFonts w:ascii="宋体" w:hAnsi="宋体" w:eastAsia="宋体"/>
          <w:b/>
          <w:sz w:val="28"/>
        </w:rPr>
        <w:t>实施例四：机体空闲与电池再次出勤</w:t>
      </w:r>
    </w:p>
    <w:p>
      <w:pPr>
        <w:spacing w:line="360" w:lineRule="auto"/>
        <w:ind w:firstLine="420"/>
      </w:pPr>
      <w:r>
        <w:rPr>
          <w:rFonts w:ascii="宋体" w:hAnsi="宋体" w:eastAsia="宋体"/>
          <w:b w:val="0"/>
          <w:sz w:val="24"/>
        </w:rPr>
        <w:t>机制二：P2返航时刻686.667 s，机体周转后在746.667 s可用，A-B1要到1534.549 s才满电。因此P3准备在1534.549 s开始，起飞1594.549 s、V4交接完成1805.734 s，满足1860 s窗口。</w:t>
      </w:r>
    </w:p>
    <w:p>
      <w:pPr>
        <w:spacing w:line="360" w:lineRule="auto"/>
        <w:ind w:firstLine="420"/>
      </w:pPr>
      <w:r>
        <w:rPr>
          <w:rFonts w:ascii="宋体" w:hAnsi="宋体" w:eastAsia="宋体"/>
          <w:b w:val="0"/>
          <w:sz w:val="24"/>
        </w:rPr>
        <w:t>如果仅按机体可用安排P3在806.667 s起飞，则电池仍在P2补电区间中。独立检查原型拒绝这份具有过早起飞但仍带“可行”标签的记录。该检查表明输出标签不能代替电池资源就绪检查。</w:t>
      </w:r>
    </w:p>
    <w:p>
      <w:pPr>
        <w:keepNext/>
        <w:jc w:val="left"/>
      </w:pPr>
      <w:r>
        <w:rPr>
          <w:rFonts w:ascii="宋体" w:hAnsi="宋体" w:eastAsia="宋体"/>
          <w:b/>
          <w:sz w:val="28"/>
        </w:rPr>
        <w:t>实施例五：有限共享工位排队及顺序调整</w:t>
      </w:r>
    </w:p>
    <w:p>
      <w:pPr>
        <w:spacing w:line="360" w:lineRule="auto"/>
        <w:ind w:firstLine="420"/>
      </w:pPr>
      <w:r>
        <w:rPr>
          <w:rFonts w:ascii="宋体" w:hAnsi="宋体" w:eastAsia="宋体"/>
          <w:b w:val="0"/>
          <w:sz w:val="24"/>
        </w:rPr>
        <w:t>机制三：使用K3、K4、K5三个货箱，A型仅保留1组电池，机体仍2架；B型仍1机1电池。先分别配置A、B兼容工位，以P4、P2、P3顺序得到可行完整排程，P3交接完成1805.734 s。</w:t>
      </w:r>
    </w:p>
    <w:p>
      <w:pPr>
        <w:spacing w:line="360" w:lineRule="auto"/>
        <w:ind w:firstLine="420"/>
      </w:pPr>
      <w:r>
        <w:rPr>
          <w:rFonts w:ascii="宋体" w:hAnsi="宋体" w:eastAsia="宋体"/>
          <w:b w:val="0"/>
          <w:sz w:val="24"/>
        </w:rPr>
        <w:t>随后仅将工位改为同时兼容A、B电池的同一共享工位SHARED-C1，保持候选货箱及顺序不变。P4电池占用工位[586.667,1688.076) s；P2返航686.667 s但要到1688.076 s才能开始充电，排队1001.409 s，充满2535.958 s。</w:t>
      </w:r>
    </w:p>
    <w:p>
      <w:pPr>
        <w:spacing w:line="360" w:lineRule="auto"/>
        <w:ind w:firstLine="420"/>
      </w:pPr>
      <w:r>
        <w:rPr>
          <w:rFonts w:ascii="宋体" w:hAnsi="宋体" w:eastAsia="宋体"/>
          <w:b w:val="0"/>
          <w:sz w:val="24"/>
        </w:rPr>
        <w:t>于是P3最早起飞2595.958 s，超过由V4窗口倒推的起飞上界1648.816 s，最早交接完成2807.143 s也超过1860 s。完整重排拒绝该候选，不能沿用独立工位安排下的P3时刻。</w:t>
      </w:r>
    </w:p>
    <w:p>
      <w:pPr>
        <w:spacing w:line="360" w:lineRule="auto"/>
        <w:ind w:firstLine="420"/>
      </w:pPr>
      <w:r>
        <w:rPr>
          <w:rFonts w:ascii="宋体" w:hAnsi="宋体" w:eastAsia="宋体"/>
          <w:b w:val="0"/>
          <w:sz w:val="24"/>
        </w:rPr>
        <w:t>使用相同共享工位，改用P2、P4、P3排程顺序可以重新得到可行安排。因此失败只说明该候选和所尝试顺序未通过约束，不能据此断定共享工位条件下所有排程均无解。此结果体现R可作为构造和搜索阶段的共用可执行性判断。</w:t>
      </w:r>
    </w:p>
    <w:p>
      <w:pPr>
        <w:spacing w:line="360" w:lineRule="auto"/>
        <w:ind w:firstLine="420"/>
      </w:pPr>
      <w:r>
        <w:rPr>
          <w:rFonts w:ascii="宋体" w:hAnsi="宋体" w:eastAsia="宋体"/>
          <w:b w:val="0"/>
          <w:sz w:val="24"/>
        </w:rPr>
        <w:t>另外检验了两个相离接收窗口，排程不在窗口空隙中起飞；重复计算被拒绝候选后重新评价基准，基准记录完全一致，验证临时状态未污染输入快照。</w:t>
      </w:r>
    </w:p>
    <w:p>
      <w:r>
        <w:br w:type="page"/>
      </w:r>
    </w:p>
    <w:p>
      <w:pPr>
        <w:keepNext/>
        <w:jc w:val="center"/>
      </w:pPr>
      <w:r>
        <w:rPr>
          <w:rFonts w:ascii="宋体" w:hAnsi="宋体" w:eastAsia="宋体"/>
          <w:b/>
          <w:sz w:val="32"/>
        </w:rPr>
        <w:t>说明书摘要</w:t>
      </w:r>
    </w:p>
    <w:p>
      <w:pPr>
        <w:keepNext/>
        <w:jc w:val="left"/>
      </w:pPr>
      <w:r>
        <w:rPr>
          <w:rFonts w:ascii="宋体" w:hAnsi="宋体" w:eastAsia="宋体"/>
          <w:b/>
          <w:sz w:val="28"/>
        </w:rPr>
        <w:t>一种港口锚地无人机配送任务与电池周转同步重排方法</w:t>
      </w:r>
    </w:p>
    <w:p>
      <w:pPr>
        <w:spacing w:line="360" w:lineRule="auto"/>
      </w:pPr>
      <w:r>
        <w:rPr>
          <w:rFonts w:ascii="宋体" w:hAnsi="宋体" w:eastAsia="宋体"/>
          <w:b w:val="0"/>
          <w:sz w:val="24"/>
        </w:rPr>
        <w:t>本发明提供一种港口锚地无人机配送任务与电池周转同步重排方法。获取货箱、船舶接收窗口及机体、电池、有限工位状态，构造初始架次并调用同步资源排程。每次调整货箱组合、访问顺序或机型，重新计算逐段载荷、能耗及可起飞区间，从同一资源初始状态重排全部待执行架次的机体、电池与工位占用；将预计返航电量及工位排队决定的电池充满时刻反馈至后续起飞，用重建后的窗口、硬截止、电量和资源约束判断调整能否执行。经独立复算后输出具体配送、换电与充电预约，保持任务变化与设备能源周转一致。</w:t>
      </w:r>
    </w:p>
    <w:p>
      <w:pPr>
        <w:keepNext/>
        <w:jc w:val="left"/>
      </w:pPr>
      <w:r>
        <w:rPr>
          <w:rFonts w:ascii="宋体" w:hAnsi="宋体" w:eastAsia="宋体"/>
          <w:b/>
          <w:sz w:val="28"/>
        </w:rPr>
        <w:t>摘要附图</w:t>
      </w:r>
    </w:p>
    <w:p>
      <w:pPr>
        <w:jc w:val="center"/>
      </w:pPr>
      <w:r>
        <w:drawing>
          <wp:inline xmlns:a="http://schemas.openxmlformats.org/drawingml/2006/main" xmlns:pic="http://schemas.openxmlformats.org/drawingml/2006/picture">
            <wp:extent cx="4541832" cy="6840000"/>
            <wp:docPr id="4" name="Picture 4"/>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4541832" cy="6840000"/>
                    </a:xfrm>
                    <a:prstGeom prst="rect"/>
                  </pic:spPr>
                </pic:pic>
              </a:graphicData>
            </a:graphic>
          </wp:inline>
        </w:drawing>
      </w:r>
    </w:p>
    <w:p>
      <w:pPr>
        <w:jc w:val="center"/>
      </w:pPr>
      <w:r>
        <w:rPr>
          <w:rFonts w:ascii="宋体" w:hAnsi="宋体" w:eastAsia="宋体"/>
          <w:b w:val="0"/>
          <w:sz w:val="22"/>
        </w:rPr>
        <w:t>图1 任务调整与周转同步重排流程</w:t>
      </w:r>
    </w:p>
    <w:p>
      <w:pPr>
        <w:sectPr>
          <w:footerReference w:type="default" r:id="rId9"/>
          <w:pgSz w:w="11906" w:h="16838"/>
          <w:pgMar w:top="1440" w:right="1797" w:bottom="1440" w:left="1797" w:header="720" w:footer="720" w:gutter="0"/>
          <w:cols w:space="720"/>
          <w:docGrid w:linePitch="360"/>
        </w:sectPr>
      </w:pPr>
    </w:p>
    <w:p>
      <w:pPr>
        <w:keepNext/>
        <w:jc w:val="center"/>
      </w:pPr>
      <w:r>
        <w:rPr>
          <w:rFonts w:ascii="宋体" w:hAnsi="宋体" w:eastAsia="宋体"/>
          <w:b/>
          <w:sz w:val="32"/>
        </w:rPr>
        <w:t>起草审查附录</w:t>
      </w:r>
    </w:p>
    <w:p>
      <w:pPr>
        <w:spacing w:line="360" w:lineRule="auto"/>
      </w:pPr>
      <w:r>
        <w:rPr>
          <w:rFonts w:ascii="宋体" w:hAnsi="宋体" w:eastAsia="宋体"/>
          <w:b w:val="0"/>
          <w:sz w:val="24"/>
        </w:rPr>
        <w:t>source: 问题二论文技术基础、本轮用户海事扩展及此前港口设计稿</w:t>
      </w:r>
    </w:p>
    <w:p>
      <w:pPr>
        <w:spacing w:line="360" w:lineRule="auto"/>
      </w:pPr>
      <w:r>
        <w:rPr>
          <w:rFonts w:ascii="宋体" w:hAnsi="宋体" w:eastAsia="宋体"/>
          <w:b w:val="0"/>
          <w:sz w:val="24"/>
        </w:rPr>
        <w:t>target: 中国发明专利</w:t>
      </w:r>
    </w:p>
    <w:p>
      <w:pPr>
        <w:spacing w:line="360" w:lineRule="auto"/>
      </w:pPr>
      <w:r>
        <w:rPr>
          <w:rFonts w:ascii="宋体" w:hAnsi="宋体" w:eastAsia="宋体"/>
          <w:b w:val="0"/>
          <w:sz w:val="24"/>
        </w:rPr>
        <w:t>draft_status: 发明人和专利专业人员审阅稿；新增海事设计与示例验证已区分</w:t>
      </w:r>
    </w:p>
    <w:p>
      <w:pPr>
        <w:spacing w:line="360" w:lineRule="auto"/>
      </w:pPr>
      <w:r>
        <w:rPr>
          <w:rFonts w:ascii="宋体" w:hAnsi="宋体" w:eastAsia="宋体"/>
          <w:b w:val="0"/>
          <w:sz w:val="24"/>
        </w:rPr>
        <w:t>version: port-dispatch_20261012105818</w:t>
      </w:r>
    </w:p>
    <w:p>
      <w:pPr>
        <w:keepNext/>
        <w:jc w:val="left"/>
      </w:pPr>
      <w:r>
        <w:rPr>
          <w:rFonts w:ascii="宋体" w:hAnsi="宋体" w:eastAsia="宋体"/>
          <w:b/>
          <w:sz w:val="28"/>
        </w:rPr>
        <w:t>前提假设</w:t>
      </w:r>
    </w:p>
    <w:p>
      <w:pPr>
        <w:spacing w:line="360" w:lineRule="auto"/>
      </w:pPr>
      <w:r>
        <w:rPr>
          <w:rFonts w:ascii="宋体" w:hAnsi="宋体" w:eastAsia="宋体"/>
          <w:b w:val="0"/>
          <w:sz w:val="24"/>
        </w:rPr>
        <w:t>- 船舶接收点在该批次模型中固定且可飞航段已确认</w:t>
      </w:r>
    </w:p>
    <w:p>
      <w:pPr>
        <w:spacing w:line="360" w:lineRule="auto"/>
      </w:pPr>
      <w:r>
        <w:rPr>
          <w:rFonts w:ascii="宋体" w:hAnsi="宋体" w:eastAsia="宋体"/>
          <w:b w:val="0"/>
          <w:sz w:val="24"/>
        </w:rPr>
        <w:t>- 小规模参数人工设定，仅验证机制关系</w:t>
      </w:r>
    </w:p>
    <w:p>
      <w:pPr>
        <w:spacing w:line="360" w:lineRule="auto"/>
      </w:pPr>
      <w:r>
        <w:rPr>
          <w:rFonts w:ascii="宋体" w:hAnsi="宋体" w:eastAsia="宋体"/>
          <w:b w:val="0"/>
          <w:sz w:val="24"/>
        </w:rPr>
        <w:t>- 有限工位及船舶窗口为用户提出的扩展，原论文未验证</w:t>
      </w:r>
    </w:p>
    <w:p>
      <w:pPr>
        <w:spacing w:line="360" w:lineRule="auto"/>
      </w:pPr>
      <w:r>
        <w:rPr>
          <w:rFonts w:ascii="宋体" w:hAnsi="宋体" w:eastAsia="宋体"/>
          <w:b w:val="0"/>
          <w:sz w:val="24"/>
        </w:rPr>
        <w:t>- 所有时间统一到开始准备零点，示例第一批起飞60秒</w:t>
      </w:r>
    </w:p>
    <w:p>
      <w:pPr>
        <w:keepNext/>
        <w:jc w:val="left"/>
      </w:pPr>
      <w:r>
        <w:rPr>
          <w:rFonts w:ascii="宋体" w:hAnsi="宋体" w:eastAsia="宋体"/>
          <w:b/>
          <w:sz w:val="28"/>
        </w:rPr>
        <w:t>发明构思</w:t>
      </w:r>
    </w:p>
    <w:p>
      <w:pPr>
        <w:spacing w:line="360" w:lineRule="auto"/>
      </w:pPr>
      <w:r>
        <w:rPr>
          <w:rFonts w:ascii="宋体" w:hAnsi="宋体" w:eastAsia="宋体"/>
          <w:b w:val="0"/>
          <w:sz w:val="24"/>
        </w:rPr>
        <w:t>technical_problem: 任务局部调整后，船舶窗口及设备能源周转的变化未被完整传播，导致整批配送安排不可执行</w:t>
      </w:r>
    </w:p>
    <w:p>
      <w:pPr>
        <w:spacing w:line="360" w:lineRule="auto"/>
      </w:pPr>
      <w:r>
        <w:rPr>
          <w:rFonts w:ascii="宋体" w:hAnsi="宋体" w:eastAsia="宋体"/>
          <w:b w:val="0"/>
          <w:sz w:val="24"/>
        </w:rPr>
        <w:t>technical_means: 每次变化复算逐段载荷能耗与窗口，从同一快照完整重排机体、电池和有限工位，把充电与排队结束反馈后续架次</w:t>
      </w:r>
    </w:p>
    <w:p>
      <w:pPr>
        <w:spacing w:line="360" w:lineRule="auto"/>
      </w:pPr>
      <w:r>
        <w:rPr>
          <w:rFonts w:ascii="宋体" w:hAnsi="宋体" w:eastAsia="宋体"/>
          <w:b w:val="0"/>
          <w:sz w:val="24"/>
        </w:rPr>
        <w:t>technical_effect: 依据重建后的时限、电量和占用判定该调整是否可执行，形成具体配送换电与充电预约</w:t>
      </w:r>
    </w:p>
    <w:p>
      <w:pPr>
        <w:keepNext/>
        <w:jc w:val="left"/>
      </w:pPr>
      <w:r>
        <w:rPr>
          <w:rFonts w:ascii="宋体" w:hAnsi="宋体" w:eastAsia="宋体"/>
          <w:b/>
          <w:sz w:val="28"/>
        </w:rPr>
        <w:t>证据台账</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ID</w:t>
            </w:r>
          </w:p>
        </w:tc>
        <w:tc>
          <w:tcPr>
            <w:tcW w:type="dxa" w:w="1441"/>
          </w:tcPr>
          <w:p>
            <w:r>
              <w:t>技术特征</w:t>
            </w:r>
          </w:p>
        </w:tc>
        <w:tc>
          <w:tcPr>
            <w:tcW w:type="dxa" w:w="1441"/>
          </w:tcPr>
          <w:p>
            <w:r>
              <w:t>来源位置</w:t>
            </w:r>
          </w:p>
        </w:tc>
        <w:tc>
          <w:tcPr>
            <w:tcW w:type="dxa" w:w="1441"/>
          </w:tcPr>
          <w:p>
            <w:r>
              <w:t>技术作用</w:t>
            </w:r>
          </w:p>
        </w:tc>
        <w:tc>
          <w:tcPr>
            <w:tcW w:type="dxa" w:w="1441"/>
          </w:tcPr>
          <w:p>
            <w:r>
              <w:t>效果</w:t>
            </w:r>
          </w:p>
        </w:tc>
        <w:tc>
          <w:tcPr>
            <w:tcW w:type="dxa" w:w="1441"/>
          </w:tcPr>
          <w:p>
            <w:r>
              <w:t>支持状态</w:t>
            </w:r>
          </w:p>
        </w:tc>
      </w:tr>
      <w:tr>
        <w:tc>
          <w:tcPr>
            <w:tcW w:type="dxa" w:w="1441"/>
          </w:tcPr>
          <w:p>
            <w:r>
              <w:t>M01</w:t>
            </w:r>
          </w:p>
        </w:tc>
        <w:tc>
          <w:tcPr>
            <w:tcW w:type="dxa" w:w="1441"/>
          </w:tcPr>
          <w:p>
            <w:r>
              <w:t>任务、船舶窗口及机体电池工位兼容状态作为输入</w:t>
            </w:r>
          </w:p>
        </w:tc>
        <w:tc>
          <w:tcPr>
            <w:tcW w:type="dxa" w:w="1441"/>
          </w:tcPr>
          <w:p>
            <w:r>
              <w:t>C103；C104；P0195</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M02</w:t>
            </w:r>
          </w:p>
        </w:tc>
        <w:tc>
          <w:tcPr>
            <w:tcW w:type="dxa" w:w="1441"/>
          </w:tcPr>
          <w:p>
            <w:r>
              <w:t>初始构造与每次任务/访问顺序/机型调整共用同步重排</w:t>
            </w:r>
          </w:p>
        </w:tc>
        <w:tc>
          <w:tcPr>
            <w:tcW w:type="dxa" w:w="1441"/>
          </w:tcPr>
          <w:p>
            <w:r>
              <w:t>C103；P0246；P0232</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M03</w:t>
            </w:r>
          </w:p>
        </w:tc>
        <w:tc>
          <w:tcPr>
            <w:tcW w:type="dxa" w:w="1441"/>
          </w:tcPr>
          <w:p>
            <w:r>
              <w:t>卸载后逐段能耗、预计返航SOC重算</w:t>
            </w:r>
          </w:p>
        </w:tc>
        <w:tc>
          <w:tcPr>
            <w:tcW w:type="dxa" w:w="1441"/>
          </w:tcPr>
          <w:p>
            <w:r>
              <w:t>P0104；E021；C103；C104</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M04</w:t>
            </w:r>
          </w:p>
        </w:tc>
        <w:tc>
          <w:tcPr>
            <w:tcW w:type="dxa" w:w="1441"/>
          </w:tcPr>
          <w:p>
            <w:r>
              <w:t>交接窗口与硬截止转换为起飞区间并保持多窗口空隙</w:t>
            </w:r>
          </w:p>
        </w:tc>
        <w:tc>
          <w:tcPr>
            <w:tcW w:type="dxa" w:w="1441"/>
          </w:tcPr>
          <w:p>
            <w:r>
              <w:t>C103；C104</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M05</w:t>
            </w:r>
          </w:p>
        </w:tc>
        <w:tc>
          <w:tcPr>
            <w:tcW w:type="dxa" w:w="1441"/>
          </w:tcPr>
          <w:p>
            <w:r>
              <w:t>从同一初始资源状态重新建立全候选时间轴</w:t>
            </w:r>
          </w:p>
        </w:tc>
        <w:tc>
          <w:tcPr>
            <w:tcW w:type="dxa" w:w="1441"/>
          </w:tcPr>
          <w:p>
            <w:r>
              <w:t>C103；C104；P0286</w:t>
            </w:r>
          </w:p>
        </w:tc>
        <w:tc>
          <w:tcPr>
            <w:tcW w:type="dxa" w:w="1441"/>
          </w:tcPr>
          <w:p>
            <w:r>
              <w:t>必要/优选技术关系</w:t>
            </w:r>
          </w:p>
        </w:tc>
        <w:tc>
          <w:tcPr>
            <w:tcW w:type="dxa" w:w="1441"/>
          </w:tcPr>
          <w:p>
            <w:r>
              <w:t>保持调整方案与资源周转一致</w:t>
            </w:r>
          </w:p>
        </w:tc>
        <w:tc>
          <w:tcPr>
            <w:tcW w:type="dxa" w:w="1441"/>
          </w:tcPr>
          <w:p>
            <w:r>
              <w:t>inherent</w:t>
            </w:r>
          </w:p>
        </w:tc>
      </w:tr>
      <w:tr>
        <w:tc>
          <w:tcPr>
            <w:tcW w:type="dxa" w:w="1441"/>
          </w:tcPr>
          <w:p>
            <w:r>
              <w:t>M06</w:t>
            </w:r>
          </w:p>
        </w:tc>
        <w:tc>
          <w:tcPr>
            <w:tcW w:type="dxa" w:w="1441"/>
          </w:tcPr>
          <w:p>
            <w:r>
              <w:t>冷却/工位占用最大值确定补电开始，补电结束反馈电池再次出勤</w:t>
            </w:r>
          </w:p>
        </w:tc>
        <w:tc>
          <w:tcPr>
            <w:tcW w:type="dxa" w:w="1441"/>
          </w:tcPr>
          <w:p>
            <w:r>
              <w:t>C103；C104</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M07</w:t>
            </w:r>
          </w:p>
        </w:tc>
        <w:tc>
          <w:tcPr>
            <w:tcW w:type="dxa" w:w="1441"/>
          </w:tcPr>
          <w:p>
            <w:r>
              <w:t>机体、电池、工位独立兼容分配及占用检查</w:t>
            </w:r>
          </w:p>
        </w:tc>
        <w:tc>
          <w:tcPr>
            <w:tcW w:type="dxa" w:w="1441"/>
          </w:tcPr>
          <w:p>
            <w:r>
              <w:t>C103；C104；P0233</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M08</w:t>
            </w:r>
          </w:p>
        </w:tc>
        <w:tc>
          <w:tcPr>
            <w:tcW w:type="dxa" w:w="1441"/>
          </w:tcPr>
          <w:p>
            <w:r>
              <w:t>复算最终绑定记录后输出配送/换电/充电预约</w:t>
            </w:r>
          </w:p>
        </w:tc>
        <w:tc>
          <w:tcPr>
            <w:tcW w:type="dxa" w:w="1441"/>
          </w:tcPr>
          <w:p>
            <w:r>
              <w:t>C103；C104；P0425</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M09</w:t>
            </w:r>
          </w:p>
        </w:tc>
        <w:tc>
          <w:tcPr>
            <w:tcW w:type="dxa" w:w="1441"/>
          </w:tcPr>
          <w:p>
            <w:r>
              <w:t>变化可用合并拆分移动交换改访问次序或机型实现</w:t>
            </w:r>
          </w:p>
        </w:tc>
        <w:tc>
          <w:tcPr>
            <w:tcW w:type="dxa" w:w="1441"/>
          </w:tcPr>
          <w:p>
            <w:r>
              <w:t>C103；C014</w:t>
            </w:r>
          </w:p>
        </w:tc>
        <w:tc>
          <w:tcPr>
            <w:tcW w:type="dxa" w:w="1441"/>
          </w:tcPr>
          <w:p>
            <w:r>
              <w:t>必要/优选技术关系</w:t>
            </w:r>
          </w:p>
        </w:tc>
        <w:tc>
          <w:tcPr>
            <w:tcW w:type="dxa" w:w="1441"/>
          </w:tcPr>
          <w:p>
            <w:r>
              <w:t>保持调整方案与资源周转一致</w:t>
            </w:r>
          </w:p>
        </w:tc>
        <w:tc>
          <w:tcPr>
            <w:tcW w:type="dxa" w:w="1441"/>
          </w:tcPr>
          <w:p>
            <w:r>
              <w:t>explicit</w:t>
            </w:r>
          </w:p>
        </w:tc>
      </w:tr>
      <w:tr>
        <w:tc>
          <w:tcPr>
            <w:tcW w:type="dxa" w:w="1441"/>
          </w:tcPr>
          <w:p>
            <w:r>
              <w:t>M10</w:t>
            </w:r>
          </w:p>
        </w:tc>
        <w:tc>
          <w:tcPr>
            <w:tcW w:type="dxa" w:w="1441"/>
          </w:tcPr>
          <w:p>
            <w:r>
              <w:t>多排程順序/硬约束筛选/软指标判优作为优选实现</w:t>
            </w:r>
          </w:p>
        </w:tc>
        <w:tc>
          <w:tcPr>
            <w:tcW w:type="dxa" w:w="1441"/>
          </w:tcPr>
          <w:p>
            <w:r>
              <w:t>P0286；P0233；C103；C104</w:t>
            </w:r>
          </w:p>
        </w:tc>
        <w:tc>
          <w:tcPr>
            <w:tcW w:type="dxa" w:w="1441"/>
          </w:tcPr>
          <w:p>
            <w:r>
              <w:t>优选技术关系</w:t>
            </w:r>
          </w:p>
        </w:tc>
        <w:tc>
          <w:tcPr>
            <w:tcW w:type="dxa" w:w="1441"/>
          </w:tcPr>
          <w:p>
            <w:r>
              <w:t>保持调整方案与资源周转一致</w:t>
            </w:r>
          </w:p>
        </w:tc>
        <w:tc>
          <w:tcPr>
            <w:tcW w:type="dxa" w:w="1441"/>
          </w:tcPr>
          <w:p>
            <w:r>
              <w:t>explicit</w:t>
            </w:r>
          </w:p>
        </w:tc>
      </w:tr>
      <w:tr>
        <w:tc>
          <w:tcPr>
            <w:tcW w:type="dxa" w:w="1441"/>
          </w:tcPr>
          <w:p>
            <w:r>
              <w:t>M11</w:t>
            </w:r>
          </w:p>
        </w:tc>
        <w:tc>
          <w:tcPr>
            <w:tcW w:type="dxa" w:w="1441"/>
          </w:tcPr>
          <w:p>
            <w:r>
              <w:t>3/2航程拟合、两段充电、示例交接能耗及周转参数</w:t>
            </w:r>
          </w:p>
        </w:tc>
        <w:tc>
          <w:tcPr>
            <w:tcW w:type="dxa" w:w="1441"/>
          </w:tcPr>
          <w:p>
            <w:r>
              <w:t>E012；E022；C104</w:t>
            </w:r>
          </w:p>
        </w:tc>
        <w:tc>
          <w:tcPr>
            <w:tcW w:type="dxa" w:w="1441"/>
          </w:tcPr>
          <w:p>
            <w:r>
              <w:t>计算实例，不作普遍设备规律</w:t>
            </w:r>
          </w:p>
        </w:tc>
        <w:tc>
          <w:tcPr>
            <w:tcW w:type="dxa" w:w="1441"/>
          </w:tcPr>
          <w:p>
            <w:r>
              <w:t>保持调整方案与资源周转一致</w:t>
            </w:r>
          </w:p>
        </w:tc>
        <w:tc>
          <w:tcPr>
            <w:tcW w:type="dxa" w:w="1441"/>
          </w:tcPr>
          <w:p>
            <w:r>
              <w:t>explicit</w:t>
            </w:r>
          </w:p>
        </w:tc>
      </w:tr>
      <w:tr>
        <w:tc>
          <w:tcPr>
            <w:tcW w:type="dxa" w:w="1441"/>
          </w:tcPr>
          <w:p>
            <w:r>
              <w:t>M12</w:t>
            </w:r>
          </w:p>
        </w:tc>
        <w:tc>
          <w:tcPr>
            <w:tcW w:type="dxa" w:w="1441"/>
          </w:tcPr>
          <w:p>
            <w:r>
              <w:t>小规模示例机制检查</w:t>
            </w:r>
          </w:p>
        </w:tc>
        <w:tc>
          <w:tcPr>
            <w:tcW w:type="dxa" w:w="1441"/>
          </w:tcPr>
          <w:p>
            <w:r>
              <w:t>C105</w:t>
            </w:r>
          </w:p>
        </w:tc>
        <w:tc>
          <w:tcPr>
            <w:tcW w:type="dxa" w:w="1441"/>
          </w:tcPr>
          <w:p>
            <w:r>
              <w:t>验证记录，不替代真实海事试验</w:t>
            </w:r>
          </w:p>
        </w:tc>
        <w:tc>
          <w:tcPr>
            <w:tcW w:type="dxa" w:w="1441"/>
          </w:tcPr>
          <w:p>
            <w:r>
              <w:t>保持调整方案与资源周转一致</w:t>
            </w:r>
          </w:p>
        </w:tc>
        <w:tc>
          <w:tcPr>
            <w:tcW w:type="dxa" w:w="1441"/>
          </w:tcPr>
          <w:p>
            <w:r>
              <w:t>explicit</w:t>
            </w:r>
          </w:p>
        </w:tc>
      </w:tr>
      <w:tr>
        <w:tc>
          <w:tcPr>
            <w:tcW w:type="dxa" w:w="1441"/>
          </w:tcPr>
          <w:p>
            <w:r>
              <w:t>Q01</w:t>
            </w:r>
          </w:p>
        </w:tc>
        <w:tc>
          <w:tcPr>
            <w:tcW w:type="dxa" w:w="1441"/>
          </w:tcPr>
          <w:p>
            <w:r>
              <w:t>真实船舶窗口、工位功率曲线、冷却及交接耗能的校准</w:t>
            </w:r>
          </w:p>
        </w:tc>
        <w:tc>
          <w:tcPr>
            <w:tcW w:type="dxa" w:w="1441"/>
          </w:tcPr>
          <w:p>
            <w:r>
              <w:t>C103</w:t>
            </w:r>
          </w:p>
        </w:tc>
        <w:tc>
          <w:tcPr>
            <w:tcW w:type="dxa" w:w="1441"/>
          </w:tcPr>
          <w:p>
            <w:r>
              <w:t>参数事实待核实</w:t>
            </w:r>
          </w:p>
        </w:tc>
        <w:tc>
          <w:tcPr>
            <w:tcW w:type="dxa" w:w="1441"/>
          </w:tcPr>
          <w:p>
            <w:r>
              <w:t>不能由模型端点代算推断真实港口效果</w:t>
            </w:r>
          </w:p>
        </w:tc>
        <w:tc>
          <w:tcPr>
            <w:tcW w:type="dxa" w:w="1441"/>
          </w:tcPr>
          <w:p>
            <w:r>
              <w:t>needs-confirmation</w:t>
            </w:r>
          </w:p>
        </w:tc>
      </w:tr>
    </w:tbl>
    <w:p>
      <w:pPr>
        <w:keepNext/>
        <w:jc w:val="left"/>
      </w:pPr>
      <w:r>
        <w:rPr>
          <w:rFonts w:ascii="宋体" w:hAnsi="宋体" w:eastAsia="宋体"/>
          <w:b/>
          <w:sz w:val="28"/>
        </w:rPr>
        <w:t>支持性检查</w:t>
      </w:r>
    </w:p>
    <w:p>
      <w:pPr>
        <w:spacing w:line="360" w:lineRule="auto"/>
      </w:pPr>
      <w:r>
        <w:rPr>
          <w:rFonts w:ascii="宋体" w:hAnsi="宋体" w:eastAsia="宋体"/>
          <w:b w:val="0"/>
          <w:sz w:val="24"/>
        </w:rPr>
        <w:t>- 论文技术基础与C103用户扩展分列。窗口/有限工位不能归为原论文已验证。</w:t>
      </w:r>
    </w:p>
    <w:p>
      <w:pPr>
        <w:spacing w:line="360" w:lineRule="auto"/>
      </w:pPr>
      <w:r>
        <w:rPr>
          <w:rFonts w:ascii="宋体" w:hAnsi="宋体" w:eastAsia="宋体"/>
          <w:b w:val="0"/>
          <w:sz w:val="24"/>
        </w:rPr>
        <w:t>- 人工小例C105验证实际状态依赖，未添加真实海事效率百分比或实飞结论。</w:t>
      </w:r>
    </w:p>
    <w:p>
      <w:pPr>
        <w:keepNext/>
        <w:jc w:val="left"/>
      </w:pPr>
      <w:r>
        <w:rPr>
          <w:rFonts w:ascii="宋体" w:hAnsi="宋体" w:eastAsia="宋体"/>
          <w:b/>
          <w:sz w:val="28"/>
        </w:rPr>
        <w:t>一致性检查</w:t>
      </w:r>
    </w:p>
    <w:p>
      <w:pPr>
        <w:spacing w:line="360" w:lineRule="auto"/>
      </w:pPr>
      <w:r>
        <w:rPr>
          <w:rFonts w:ascii="宋体" w:hAnsi="宋体" w:eastAsia="宋体"/>
          <w:b w:val="0"/>
          <w:sz w:val="24"/>
        </w:rPr>
        <w:t>- S2和S3调用同一R，调整后复算全部待执行架次。</w:t>
      </w:r>
    </w:p>
    <w:p>
      <w:pPr>
        <w:spacing w:line="360" w:lineRule="auto"/>
      </w:pPr>
      <w:r>
        <w:rPr>
          <w:rFonts w:ascii="宋体" w:hAnsi="宋体" w:eastAsia="宋体"/>
          <w:b w:val="0"/>
          <w:sz w:val="24"/>
        </w:rPr>
        <w:t>- 本文时间基准改为开始准备0秒，窗口和例时刻与此前首发起飞0秒的旧例明确区分。</w:t>
      </w:r>
    </w:p>
    <w:p>
      <w:pPr>
        <w:spacing w:line="360" w:lineRule="auto"/>
      </w:pPr>
      <w:r>
        <w:rPr>
          <w:rFonts w:ascii="宋体" w:hAnsi="宋体" w:eastAsia="宋体"/>
          <w:b w:val="0"/>
          <w:sz w:val="24"/>
        </w:rPr>
        <w:t>- 未限定模拟退火或三种优先顺序为独立项必要算法。</w:t>
      </w:r>
    </w:p>
    <w:p>
      <w:pPr>
        <w:keepNext/>
        <w:jc w:val="left"/>
      </w:pPr>
      <w:r>
        <w:rPr>
          <w:rFonts w:ascii="宋体" w:hAnsi="宋体" w:eastAsia="宋体"/>
          <w:b/>
          <w:sz w:val="28"/>
        </w:rPr>
        <w:t>发明人待确认问题</w:t>
      </w:r>
    </w:p>
    <w:p>
      <w:pPr>
        <w:spacing w:line="360" w:lineRule="auto"/>
      </w:pPr>
      <w:r>
        <w:rPr>
          <w:rFonts w:ascii="宋体" w:hAnsi="宋体" w:eastAsia="宋体"/>
          <w:b w:val="0"/>
          <w:sz w:val="24"/>
        </w:rPr>
        <w:t>- [TO CONFIRM: 实际港口窗口、机型/电池—工位曲线、拆卸冷却及物资准备时长，请用实际配置校准。]</w:t>
      </w:r>
    </w:p>
    <w:p>
      <w:pPr>
        <w:spacing w:line="360" w:lineRule="auto"/>
      </w:pPr>
      <w:r>
        <w:rPr>
          <w:rFonts w:ascii="宋体" w:hAnsi="宋体" w:eastAsia="宋体"/>
          <w:b w:val="0"/>
          <w:sz w:val="24"/>
        </w:rPr>
        <w:t>- [TO CONFIRM: 原论文成果归属和海事扩展参与发明人；未发表不等于已完成所有公开日期核查。]</w:t>
      </w:r>
    </w:p>
    <w:p>
      <w:pPr>
        <w:spacing w:line="360" w:lineRule="auto"/>
      </w:pPr>
      <w:r>
        <w:rPr>
          <w:rFonts w:ascii="宋体" w:hAnsi="宋体" w:eastAsia="宋体"/>
          <w:b w:val="0"/>
          <w:sz w:val="24"/>
        </w:rPr>
        <w:t>- [TO CONFIRM: 原型仅作小规模示例，完整海事仿真需实际数据、对照设置和重复运行统计。]</w:t>
      </w:r>
    </w:p>
    <w:p>
      <w:pPr>
        <w:spacing w:line="360" w:lineRule="auto"/>
      </w:pPr>
      <w:r>
        <w:rPr>
          <w:rFonts w:ascii="宋体" w:hAnsi="宋体" w:eastAsia="宋体"/>
          <w:b w:val="0"/>
          <w:sz w:val="24"/>
        </w:rPr>
        <w:t>- [TO CONFIRM: 增加海事窗口/工位机制后的在先专利检索和区别特征比对尚待进行，不能将拟保护特征称为已确认创新点。]</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