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宋体" w:hAnsi="宋体" w:eastAsia="宋体"/>
          <w:b/>
          <w:sz w:val="32"/>
        </w:rPr>
        <w:t>说明书摘要</w:t>
      </w:r>
    </w:p>
    <w:p>
      <w:pPr>
        <w:keepNext/>
        <w:jc w:val="left"/>
      </w:pPr>
      <w:r>
        <w:rPr>
          <w:rFonts w:ascii="宋体" w:hAnsi="宋体" w:eastAsia="宋体"/>
          <w:b/>
          <w:sz w:val="28"/>
        </w:rPr>
        <w:t>一种异构无人机多点运输与共享电池协同调度方法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本发明涉及无人机运输调度及电池资源管理，提供一种异构无人机多点运输与共享电池协同调度方法。获取货箱、航段及设备状态，形成货箱分组和机型候选，按服务点访问顺序逐段更新载荷并复算航时、能耗和预计返航电量；对同一候选以多种排程顺序分别绑定实体无人机与共享电池，将返航补电完成时刻反馈至后续架次。筛除硬约束违约排程，按迟到量、完成时刻、能耗和架次数比较并维护可行档案，经独立复算后输出带逐箱交付时刻及设备绑定的运输排程，以保持任务调整与能源周转计算一致。</w:t>
      </w:r>
    </w:p>
    <w:p>
      <w:pPr>
        <w:keepNext/>
        <w:jc w:val="left"/>
      </w:pPr>
      <w:r>
        <w:rPr>
          <w:rFonts w:ascii="宋体" w:hAnsi="宋体" w:eastAsia="宋体"/>
          <w:b/>
          <w:sz w:val="28"/>
        </w:rPr>
        <w:t>摘要附图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487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487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图1 协同调度方法流程图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